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E18D" w14:textId="3B24F204" w:rsidR="007D23C2" w:rsidRPr="000B2CE5" w:rsidRDefault="000D7D30" w:rsidP="000D7D30">
      <w:pPr>
        <w:spacing w:line="240" w:lineRule="auto"/>
        <w:ind w:left="-540" w:hanging="27"/>
        <w:jc w:val="center"/>
        <w:rPr>
          <w:color w:val="000000" w:themeColor="text1"/>
        </w:rPr>
      </w:pPr>
      <w:bookmarkStart w:id="0" w:name="_Hlk532373566"/>
      <w:r w:rsidRPr="000B2CE5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7B4564DD" wp14:editId="5503F9E7">
            <wp:simplePos x="0" y="0"/>
            <wp:positionH relativeFrom="column">
              <wp:posOffset>-368300</wp:posOffset>
            </wp:positionH>
            <wp:positionV relativeFrom="paragraph">
              <wp:posOffset>-35560</wp:posOffset>
            </wp:positionV>
            <wp:extent cx="654050" cy="64332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5E" w:rsidRPr="002E215E">
        <w:rPr>
          <w:rFonts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0C327" wp14:editId="1BBBB5DE">
                <wp:simplePos x="0" y="0"/>
                <wp:positionH relativeFrom="column">
                  <wp:posOffset>5429250</wp:posOffset>
                </wp:positionH>
                <wp:positionV relativeFrom="paragraph">
                  <wp:posOffset>-18415</wp:posOffset>
                </wp:positionV>
                <wp:extent cx="674370" cy="624205"/>
                <wp:effectExtent l="0" t="0" r="1143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2748" w14:textId="77777777" w:rsidR="002E215E" w:rsidRDefault="002E215E" w:rsidP="002E215E">
                            <w:pPr>
                              <w:pStyle w:val="NoSpacing"/>
                              <w:jc w:val="center"/>
                            </w:pPr>
                          </w:p>
                          <w:p w14:paraId="314EC582" w14:textId="56A8048D" w:rsidR="002E215E" w:rsidRPr="002E215E" w:rsidRDefault="002E215E" w:rsidP="002E215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215E">
                              <w:rPr>
                                <w:sz w:val="18"/>
                                <w:szCs w:val="18"/>
                              </w:rPr>
                              <w:t>ADO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1.45pt;width:53.1pt;height: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eIwIAAEU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">
                <v:textbox>
                  <w:txbxContent>
                    <w:p w14:paraId="62722748" w14:textId="77777777" w:rsidR="002E215E" w:rsidRDefault="002E215E" w:rsidP="002E215E">
                      <w:pPr>
                        <w:pStyle w:val="NoSpacing"/>
                        <w:jc w:val="center"/>
                      </w:pPr>
                    </w:p>
                    <w:p w14:paraId="314EC582" w14:textId="56A8048D" w:rsidR="002E215E" w:rsidRPr="002E215E" w:rsidRDefault="002E215E" w:rsidP="002E215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215E">
                        <w:rPr>
                          <w:sz w:val="18"/>
                          <w:szCs w:val="18"/>
                        </w:rPr>
                        <w:t>ADO logo</w:t>
                      </w:r>
                    </w:p>
                  </w:txbxContent>
                </v:textbox>
              </v:shape>
            </w:pict>
          </mc:Fallback>
        </mc:AlternateContent>
      </w:r>
      <w:r w:rsidR="007D23C2" w:rsidRPr="000B2CE5">
        <w:rPr>
          <w:color w:val="000000" w:themeColor="text1"/>
        </w:rPr>
        <w:t>Checklist for Therapeutic Use Exemption (TUE) Application:</w:t>
      </w:r>
    </w:p>
    <w:bookmarkEnd w:id="0"/>
    <w:p w14:paraId="7028E101" w14:textId="77777777" w:rsidR="00AA1129" w:rsidRDefault="00AA1129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r w:rsidRPr="00AA1129">
        <w:rPr>
          <w:rFonts w:eastAsia="Times New Roman" w:cs="Arial"/>
          <w:b/>
          <w:color w:val="000000" w:themeColor="text1"/>
          <w:shd w:val="clear" w:color="auto" w:fill="FFFFFF"/>
        </w:rPr>
        <w:t xml:space="preserve">Asthma </w:t>
      </w:r>
    </w:p>
    <w:p w14:paraId="5E23ED57" w14:textId="0EFF41F7" w:rsidR="007D23C2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r w:rsidRPr="000D7D30">
        <w:rPr>
          <w:i/>
        </w:rPr>
        <w:t xml:space="preserve">Prohibited Substances: </w:t>
      </w:r>
      <w:r w:rsidR="00AA1129" w:rsidRPr="00AA1129">
        <w:rPr>
          <w:i/>
        </w:rPr>
        <w:t>Beta-2-agonists</w:t>
      </w:r>
    </w:p>
    <w:p w14:paraId="73BB5B3F" w14:textId="77777777" w:rsidR="000D7D30" w:rsidRPr="00A838CC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6C732814" w14:textId="0221F837" w:rsidR="00A36770" w:rsidRPr="000B2CE5" w:rsidRDefault="002E215E" w:rsidP="000B2CE5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36770" w:rsidRPr="000B2CE5">
        <w:rPr>
          <w:rFonts w:cs="Arial"/>
          <w:sz w:val="20"/>
          <w:szCs w:val="20"/>
        </w:rPr>
        <w:t xml:space="preserve">This Checklist is to guide the athlete and their physician on the requirements for a TUE application that will allow the TUE Committee to assess whether the relevant ISTUE Criteria are met. </w:t>
      </w:r>
    </w:p>
    <w:p w14:paraId="247919D3" w14:textId="6C3BF7B2" w:rsidR="00A36770" w:rsidRPr="002E215E" w:rsidRDefault="00A36770" w:rsidP="000B2CE5">
      <w:pPr>
        <w:ind w:left="-567" w:right="-336"/>
        <w:jc w:val="left"/>
        <w:rPr>
          <w:rFonts w:cs="Arial"/>
          <w:sz w:val="20"/>
          <w:szCs w:val="20"/>
        </w:rPr>
      </w:pPr>
      <w:r w:rsidRPr="002E215E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2E215E">
        <w:rPr>
          <w:rFonts w:cs="Arial"/>
          <w:sz w:val="20"/>
          <w:szCs w:val="20"/>
          <w:u w:val="single"/>
        </w:rPr>
        <w:t>MUST</w:t>
      </w:r>
      <w:r w:rsidRPr="002E215E">
        <w:rPr>
          <w:rFonts w:cs="Arial"/>
          <w:sz w:val="20"/>
          <w:szCs w:val="20"/>
        </w:rPr>
        <w:t xml:space="preserve"> be provided. </w:t>
      </w:r>
      <w:r w:rsidRPr="002E215E">
        <w:rPr>
          <w:rFonts w:cs="Arial"/>
          <w:i/>
          <w:sz w:val="20"/>
          <w:szCs w:val="20"/>
        </w:rPr>
        <w:t>A completed application and checklist DO NOT guarantee the granting of a TUE.</w:t>
      </w:r>
      <w:r w:rsidRPr="002E215E">
        <w:rPr>
          <w:rFonts w:cs="Arial"/>
          <w:sz w:val="20"/>
          <w:szCs w:val="20"/>
        </w:rPr>
        <w:t xml:space="preserve"> Conversely</w:t>
      </w:r>
      <w:r w:rsidR="004765E6" w:rsidRPr="002E215E">
        <w:rPr>
          <w:rFonts w:cs="Arial"/>
          <w:sz w:val="20"/>
          <w:szCs w:val="20"/>
        </w:rPr>
        <w:t>,</w:t>
      </w:r>
      <w:r w:rsidRPr="002E215E">
        <w:rPr>
          <w:rFonts w:cs="Arial"/>
          <w:sz w:val="20"/>
          <w:szCs w:val="20"/>
        </w:rPr>
        <w:t xml:space="preserve"> in some situations a legitimate application may not include every element on the checklist</w:t>
      </w:r>
      <w:r w:rsidR="00123786" w:rsidRPr="002E215E">
        <w:rPr>
          <w:rFonts w:cs="Arial"/>
          <w:sz w:val="20"/>
          <w:szCs w:val="20"/>
        </w:rPr>
        <w:t>.</w:t>
      </w:r>
      <w:r w:rsidR="002E215E">
        <w:rPr>
          <w:rFonts w:cs="Arial"/>
          <w:sz w:val="20"/>
          <w:szCs w:val="20"/>
        </w:rPr>
        <w:br/>
      </w: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87"/>
        <w:gridCol w:w="369"/>
        <w:gridCol w:w="9204"/>
      </w:tblGrid>
      <w:tr w:rsidR="00227AF9" w:rsidRPr="00320057" w14:paraId="4978B42C" w14:textId="77777777" w:rsidTr="00C87F30">
        <w:trPr>
          <w:trHeight w:val="437"/>
        </w:trPr>
        <w:tc>
          <w:tcPr>
            <w:tcW w:w="687" w:type="dxa"/>
            <w:shd w:val="clear" w:color="auto" w:fill="81CB7B"/>
          </w:tcPr>
          <w:p w14:paraId="4A886380" w14:textId="77777777" w:rsidR="00227AF9" w:rsidRPr="00320057" w:rsidRDefault="00227AF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14:paraId="482834A7" w14:textId="3677A6D0" w:rsidR="00227AF9" w:rsidRPr="00320057" w:rsidRDefault="00227AF9" w:rsidP="00407833">
            <w:pPr>
              <w:spacing w:before="120" w:after="60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b/>
                <w:sz w:val="20"/>
                <w:szCs w:val="20"/>
              </w:rPr>
              <w:t>TUE Application form</w:t>
            </w:r>
            <w:r w:rsidRPr="00320057">
              <w:rPr>
                <w:sz w:val="20"/>
                <w:szCs w:val="20"/>
              </w:rPr>
              <w:t xml:space="preserve"> must include</w:t>
            </w:r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14:paraId="0F45A48B" w14:textId="77777777" w:rsidTr="00AA1129">
        <w:tc>
          <w:tcPr>
            <w:tcW w:w="687" w:type="dxa"/>
            <w:shd w:val="clear" w:color="auto" w:fill="BDE4BA"/>
          </w:tcPr>
          <w:p w14:paraId="36A4DD18" w14:textId="77777777" w:rsidR="00AA1129" w:rsidRPr="00320057" w:rsidRDefault="00AA112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6DC2A4C7" w14:textId="77777777" w:rsidR="00AA1129" w:rsidRPr="00320057" w:rsidRDefault="00AA112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5F3855EF" w14:textId="77777777" w:rsidR="00AA1129" w:rsidRPr="00320057" w:rsidRDefault="00AA1129" w:rsidP="00407833">
            <w:pPr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All sections completed in legible handwriting</w:t>
            </w:r>
          </w:p>
        </w:tc>
      </w:tr>
      <w:tr w:rsidR="00AA1129" w:rsidRPr="00320057" w14:paraId="6626E8DD" w14:textId="77777777" w:rsidTr="00AA1129">
        <w:tc>
          <w:tcPr>
            <w:tcW w:w="687" w:type="dxa"/>
            <w:shd w:val="clear" w:color="auto" w:fill="BDE4BA"/>
          </w:tcPr>
          <w:p w14:paraId="7DC61F7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34B30B0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53BBC950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All information submitted in [language]</w:t>
            </w:r>
          </w:p>
        </w:tc>
      </w:tr>
      <w:tr w:rsidR="00AA1129" w:rsidRPr="00320057" w14:paraId="3B9F11DE" w14:textId="77777777" w:rsidTr="00AA1129">
        <w:tc>
          <w:tcPr>
            <w:tcW w:w="687" w:type="dxa"/>
            <w:shd w:val="clear" w:color="auto" w:fill="BDE4BA"/>
          </w:tcPr>
          <w:p w14:paraId="7DC04837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549F4F54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7EB33256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A signature from the applying physician </w:t>
            </w:r>
          </w:p>
        </w:tc>
      </w:tr>
      <w:tr w:rsidR="00AA1129" w:rsidRPr="00320057" w14:paraId="708169F1" w14:textId="77777777" w:rsidTr="00AA1129">
        <w:tc>
          <w:tcPr>
            <w:tcW w:w="687" w:type="dxa"/>
            <w:shd w:val="clear" w:color="auto" w:fill="BDE4BA"/>
          </w:tcPr>
          <w:p w14:paraId="607D389B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3EF16CAC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4EE2DE92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The Athlete’s signature</w:t>
            </w:r>
          </w:p>
        </w:tc>
      </w:tr>
      <w:tr w:rsidR="00227AF9" w:rsidRPr="00320057" w14:paraId="3CDB2314" w14:textId="77777777" w:rsidTr="00DE05FA">
        <w:tc>
          <w:tcPr>
            <w:tcW w:w="687" w:type="dxa"/>
            <w:shd w:val="clear" w:color="auto" w:fill="81CB7B"/>
          </w:tcPr>
          <w:p w14:paraId="2FCA39C3" w14:textId="77777777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14:paraId="10EBB067" w14:textId="742CA10C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</w:rPr>
            </w:pPr>
            <w:r w:rsidRPr="00320057">
              <w:rPr>
                <w:b/>
                <w:sz w:val="20"/>
                <w:szCs w:val="20"/>
              </w:rPr>
              <w:t>Medical report</w:t>
            </w:r>
            <w:r w:rsidRPr="00320057">
              <w:rPr>
                <w:sz w:val="20"/>
                <w:szCs w:val="20"/>
              </w:rPr>
              <w:t xml:space="preserve"> should include details of</w:t>
            </w:r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14:paraId="529E965B" w14:textId="77777777" w:rsidTr="00AA1129">
        <w:tc>
          <w:tcPr>
            <w:tcW w:w="687" w:type="dxa"/>
            <w:shd w:val="clear" w:color="auto" w:fill="BDE4BA"/>
          </w:tcPr>
          <w:p w14:paraId="3DDD90EE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780DCC0E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1C9982E3" w14:textId="77777777" w:rsidR="00EF6E7C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Medical history: symptoms of airway obstruction, provocative stimuli, aggravating factors, </w:t>
            </w:r>
          </w:p>
          <w:p w14:paraId="445A2DDF" w14:textId="40BC8DD2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exacerbations, age at onset, course of disease under treatment (specify)</w:t>
            </w:r>
          </w:p>
        </w:tc>
      </w:tr>
      <w:tr w:rsidR="00AA1129" w:rsidRPr="00320057" w14:paraId="66C1C2C6" w14:textId="77777777" w:rsidTr="00AA1129">
        <w:tc>
          <w:tcPr>
            <w:tcW w:w="687" w:type="dxa"/>
            <w:shd w:val="clear" w:color="auto" w:fill="BDE4BA"/>
          </w:tcPr>
          <w:p w14:paraId="28FB12C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430D11F9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67774C94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Findings on examination: airflow obstruction at rest, exclusion of differential diagnoses</w:t>
            </w:r>
          </w:p>
        </w:tc>
      </w:tr>
      <w:tr w:rsidR="00AA1129" w:rsidRPr="00320057" w14:paraId="7B7C36BD" w14:textId="77777777" w:rsidTr="00AA1129">
        <w:tc>
          <w:tcPr>
            <w:tcW w:w="687" w:type="dxa"/>
            <w:shd w:val="clear" w:color="auto" w:fill="BDE4BA"/>
          </w:tcPr>
          <w:p w14:paraId="325A0D2F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43B88317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1889D9FB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Summary of diagnostic test results: spirometry, if spirometry normal, include reversibility test, if both normal, include provocation test  </w:t>
            </w:r>
          </w:p>
        </w:tc>
      </w:tr>
      <w:tr w:rsidR="00AA1129" w:rsidRPr="00320057" w14:paraId="0942B096" w14:textId="77777777" w:rsidTr="00AA1129">
        <w:tc>
          <w:tcPr>
            <w:tcW w:w="687" w:type="dxa"/>
            <w:shd w:val="clear" w:color="auto" w:fill="BDE4BA"/>
          </w:tcPr>
          <w:p w14:paraId="674CF894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0EE932CA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234E2DE0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Interpretation of symptoms, signs and test results by respiratory physician</w:t>
            </w:r>
          </w:p>
        </w:tc>
      </w:tr>
      <w:tr w:rsidR="00AA1129" w:rsidRPr="00320057" w14:paraId="0E8C35EE" w14:textId="77777777" w:rsidTr="00AA1129">
        <w:tc>
          <w:tcPr>
            <w:tcW w:w="687" w:type="dxa"/>
            <w:shd w:val="clear" w:color="auto" w:fill="BDE4BA"/>
          </w:tcPr>
          <w:p w14:paraId="5E7D2589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0215D7B5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5D903E49" w14:textId="77777777" w:rsidR="00EF6E7C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Beta-2-agonists (except for salbutamol, salmeterol, </w:t>
            </w:r>
            <w:proofErr w:type="spellStart"/>
            <w:r w:rsidRPr="00320057">
              <w:rPr>
                <w:sz w:val="20"/>
                <w:szCs w:val="20"/>
              </w:rPr>
              <w:t>formeterol</w:t>
            </w:r>
            <w:proofErr w:type="spellEnd"/>
            <w:r w:rsidRPr="00320057">
              <w:rPr>
                <w:sz w:val="20"/>
                <w:szCs w:val="20"/>
              </w:rPr>
              <w:t xml:space="preserve"> by inhalation and in therapeutic doses, </w:t>
            </w:r>
          </w:p>
          <w:p w14:paraId="1B00F38D" w14:textId="2D3B78A6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all are prohibited at all times) and/or glucocorticoids (only prohibited in-competition and when given systemically) prescribed including dosage, </w:t>
            </w:r>
            <w:proofErr w:type="gramStart"/>
            <w:r w:rsidRPr="00320057">
              <w:rPr>
                <w:sz w:val="20"/>
                <w:szCs w:val="20"/>
              </w:rPr>
              <w:t>frequency,  administration</w:t>
            </w:r>
            <w:proofErr w:type="gramEnd"/>
            <w:r w:rsidRPr="00320057">
              <w:rPr>
                <w:sz w:val="20"/>
                <w:szCs w:val="20"/>
              </w:rPr>
              <w:t xml:space="preserve"> route</w:t>
            </w:r>
          </w:p>
        </w:tc>
      </w:tr>
      <w:tr w:rsidR="00AA1129" w:rsidRPr="00320057" w14:paraId="7C26923B" w14:textId="77777777" w:rsidTr="00AA1129">
        <w:tc>
          <w:tcPr>
            <w:tcW w:w="687" w:type="dxa"/>
            <w:shd w:val="clear" w:color="auto" w:fill="BDE4BA"/>
          </w:tcPr>
          <w:p w14:paraId="33FD9D70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238DB173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0DDD4180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Response to treatment with previous/current medication </w:t>
            </w:r>
          </w:p>
        </w:tc>
      </w:tr>
      <w:tr w:rsidR="00227AF9" w:rsidRPr="00320057" w14:paraId="5ADA0E64" w14:textId="77777777" w:rsidTr="00F419DC">
        <w:tc>
          <w:tcPr>
            <w:tcW w:w="687" w:type="dxa"/>
            <w:shd w:val="clear" w:color="auto" w:fill="81CB7B"/>
          </w:tcPr>
          <w:p w14:paraId="6EC4CD41" w14:textId="77777777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14:paraId="05CE6A8B" w14:textId="6916DD7A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</w:rPr>
            </w:pPr>
            <w:r w:rsidRPr="00320057">
              <w:rPr>
                <w:b/>
                <w:sz w:val="20"/>
                <w:szCs w:val="20"/>
              </w:rPr>
              <w:t>Diagnostic test results</w:t>
            </w:r>
            <w:r w:rsidRPr="00320057">
              <w:rPr>
                <w:sz w:val="20"/>
                <w:szCs w:val="20"/>
              </w:rPr>
              <w:t xml:space="preserve"> should include copies of</w:t>
            </w:r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14:paraId="210B44C2" w14:textId="77777777" w:rsidTr="00AA1129">
        <w:tc>
          <w:tcPr>
            <w:tcW w:w="687" w:type="dxa"/>
            <w:shd w:val="clear" w:color="auto" w:fill="BDE4BA"/>
          </w:tcPr>
          <w:p w14:paraId="7A66FF7F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5C649DE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1B0B716E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Spirometry report with flow curve</w:t>
            </w:r>
          </w:p>
        </w:tc>
      </w:tr>
      <w:tr w:rsidR="00AA1129" w:rsidRPr="00320057" w14:paraId="458F1818" w14:textId="77777777" w:rsidTr="00AA1129">
        <w:tc>
          <w:tcPr>
            <w:tcW w:w="687" w:type="dxa"/>
            <w:shd w:val="clear" w:color="auto" w:fill="BDE4BA"/>
          </w:tcPr>
          <w:p w14:paraId="48597801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2B5D9AA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3481BFE6" w14:textId="77777777" w:rsidR="00EF6E7C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Spirometry report with flow curve after bronchodilator administration (reversibility test) if above </w:t>
            </w:r>
          </w:p>
          <w:p w14:paraId="4103B04C" w14:textId="06D56821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spirometry shows normal findings</w:t>
            </w:r>
          </w:p>
        </w:tc>
      </w:tr>
      <w:tr w:rsidR="00AA1129" w:rsidRPr="00320057" w14:paraId="659B0022" w14:textId="77777777" w:rsidTr="00AA1129">
        <w:tc>
          <w:tcPr>
            <w:tcW w:w="687" w:type="dxa"/>
            <w:shd w:val="clear" w:color="auto" w:fill="BDE4BA"/>
          </w:tcPr>
          <w:p w14:paraId="1D9C2B4F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14:paraId="0B364055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14:paraId="3B4EAD0F" w14:textId="5807BB9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Documentation (</w:t>
            </w:r>
            <w:proofErr w:type="spellStart"/>
            <w:r w:rsidRPr="00320057">
              <w:rPr>
                <w:sz w:val="20"/>
                <w:szCs w:val="20"/>
              </w:rPr>
              <w:t>inc</w:t>
            </w:r>
            <w:r w:rsidR="00CA5CA0">
              <w:rPr>
                <w:sz w:val="20"/>
                <w:szCs w:val="20"/>
              </w:rPr>
              <w:t>uding</w:t>
            </w:r>
            <w:bookmarkStart w:id="2" w:name="_GoBack"/>
            <w:bookmarkEnd w:id="2"/>
            <w:proofErr w:type="spellEnd"/>
            <w:r w:rsidRPr="00320057">
              <w:rPr>
                <w:sz w:val="20"/>
                <w:szCs w:val="20"/>
              </w:rPr>
              <w:t xml:space="preserve"> spirometry report with flow curve) of a recognized provocation test</w:t>
            </w:r>
          </w:p>
          <w:p w14:paraId="5451EA6B" w14:textId="4408636C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 xml:space="preserve">if both </w:t>
            </w:r>
            <w:proofErr w:type="spellStart"/>
            <w:r w:rsidRPr="00320057">
              <w:rPr>
                <w:sz w:val="20"/>
                <w:szCs w:val="20"/>
              </w:rPr>
              <w:t>spirometries</w:t>
            </w:r>
            <w:proofErr w:type="spellEnd"/>
            <w:r w:rsidRPr="00320057">
              <w:rPr>
                <w:sz w:val="20"/>
                <w:szCs w:val="20"/>
              </w:rPr>
              <w:t xml:space="preserve"> above show normal findings</w:t>
            </w:r>
          </w:p>
        </w:tc>
      </w:tr>
      <w:tr w:rsidR="00227AF9" w:rsidRPr="00320057" w14:paraId="61822A56" w14:textId="77777777" w:rsidTr="00D932C6">
        <w:tc>
          <w:tcPr>
            <w:tcW w:w="687" w:type="dxa"/>
            <w:shd w:val="clear" w:color="auto" w:fill="81CB7B"/>
          </w:tcPr>
          <w:p w14:paraId="0660FC76" w14:textId="77777777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14:paraId="15FE8D5F" w14:textId="77777777"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sz w:val="20"/>
                <w:szCs w:val="20"/>
              </w:rPr>
            </w:pPr>
            <w:r w:rsidRPr="00320057">
              <w:rPr>
                <w:b/>
                <w:sz w:val="20"/>
                <w:szCs w:val="20"/>
              </w:rPr>
              <w:t>Additional information</w:t>
            </w:r>
            <w:r w:rsidRPr="00320057">
              <w:rPr>
                <w:sz w:val="20"/>
                <w:szCs w:val="20"/>
              </w:rPr>
              <w:t xml:space="preserve"> included (not mandatory)</w:t>
            </w:r>
          </w:p>
        </w:tc>
      </w:tr>
      <w:tr w:rsidR="00AA1129" w:rsidRPr="00320057" w14:paraId="6784B4E3" w14:textId="77777777" w:rsidTr="00AA1129">
        <w:tc>
          <w:tcPr>
            <w:tcW w:w="687" w:type="dxa"/>
            <w:shd w:val="clear" w:color="auto" w:fill="BDE4BA"/>
          </w:tcPr>
          <w:p w14:paraId="599F0141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shd w:val="clear" w:color="auto" w:fill="BDE4BA"/>
            <w:vAlign w:val="center"/>
          </w:tcPr>
          <w:p w14:paraId="43FFF68D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  <w:vAlign w:val="center"/>
          </w:tcPr>
          <w:p w14:paraId="4DA25431" w14:textId="77777777"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b/>
                <w:sz w:val="20"/>
                <w:szCs w:val="20"/>
              </w:rPr>
            </w:pPr>
            <w:r w:rsidRPr="00320057">
              <w:rPr>
                <w:sz w:val="20"/>
                <w:szCs w:val="20"/>
              </w:rPr>
              <w:t>Peak flow log, allergy test results, previous spirometry and provocation tests results</w:t>
            </w:r>
          </w:p>
        </w:tc>
      </w:tr>
    </w:tbl>
    <w:p w14:paraId="60F204D2" w14:textId="77777777" w:rsidR="0065557B" w:rsidRPr="000B2CE5" w:rsidRDefault="0065557B" w:rsidP="00D833E7">
      <w:pPr>
        <w:ind w:left="-284" w:right="-336"/>
        <w:rPr>
          <w:rFonts w:cs="Arial"/>
          <w:sz w:val="20"/>
          <w:szCs w:val="20"/>
        </w:rPr>
      </w:pPr>
    </w:p>
    <w:sectPr w:rsidR="0065557B" w:rsidRPr="000B2CE5" w:rsidSect="000D7D30">
      <w:headerReference w:type="default" r:id="rId9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C215" w14:textId="77777777" w:rsidR="00095D48" w:rsidRDefault="00095D48" w:rsidP="000B2CE5">
      <w:pPr>
        <w:spacing w:after="0" w:line="240" w:lineRule="auto"/>
      </w:pPr>
      <w:r>
        <w:separator/>
      </w:r>
    </w:p>
  </w:endnote>
  <w:endnote w:type="continuationSeparator" w:id="0">
    <w:p w14:paraId="1BD16D51" w14:textId="77777777" w:rsidR="00095D48" w:rsidRDefault="00095D48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559F" w14:textId="77777777" w:rsidR="00095D48" w:rsidRDefault="00095D48" w:rsidP="000B2CE5">
      <w:pPr>
        <w:spacing w:after="0" w:line="240" w:lineRule="auto"/>
      </w:pPr>
      <w:r>
        <w:separator/>
      </w:r>
    </w:p>
  </w:footnote>
  <w:footnote w:type="continuationSeparator" w:id="0">
    <w:p w14:paraId="298BA000" w14:textId="77777777" w:rsidR="00095D48" w:rsidRDefault="00095D48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80CA3"/>
    <w:rsid w:val="00095D48"/>
    <w:rsid w:val="000B2CE5"/>
    <w:rsid w:val="000B38D2"/>
    <w:rsid w:val="000D7D30"/>
    <w:rsid w:val="000E7F7D"/>
    <w:rsid w:val="000F0A0F"/>
    <w:rsid w:val="00104CC9"/>
    <w:rsid w:val="00123786"/>
    <w:rsid w:val="00130C92"/>
    <w:rsid w:val="00142145"/>
    <w:rsid w:val="002130FA"/>
    <w:rsid w:val="00227AF9"/>
    <w:rsid w:val="00230A54"/>
    <w:rsid w:val="00257F1C"/>
    <w:rsid w:val="002A224A"/>
    <w:rsid w:val="002C377E"/>
    <w:rsid w:val="002E14E2"/>
    <w:rsid w:val="002E215E"/>
    <w:rsid w:val="002F77FB"/>
    <w:rsid w:val="00314FAF"/>
    <w:rsid w:val="003253D5"/>
    <w:rsid w:val="0040454F"/>
    <w:rsid w:val="00417B04"/>
    <w:rsid w:val="004765E6"/>
    <w:rsid w:val="004F6BEC"/>
    <w:rsid w:val="00555810"/>
    <w:rsid w:val="00575819"/>
    <w:rsid w:val="00591682"/>
    <w:rsid w:val="005C20B4"/>
    <w:rsid w:val="0061062E"/>
    <w:rsid w:val="0064542D"/>
    <w:rsid w:val="0065557B"/>
    <w:rsid w:val="00710853"/>
    <w:rsid w:val="00741A0F"/>
    <w:rsid w:val="007D23C2"/>
    <w:rsid w:val="007F18C0"/>
    <w:rsid w:val="00804037"/>
    <w:rsid w:val="00823303"/>
    <w:rsid w:val="00831C2F"/>
    <w:rsid w:val="008942AB"/>
    <w:rsid w:val="00895CEE"/>
    <w:rsid w:val="00897FBC"/>
    <w:rsid w:val="008A5788"/>
    <w:rsid w:val="008F5701"/>
    <w:rsid w:val="00914E76"/>
    <w:rsid w:val="00935D6B"/>
    <w:rsid w:val="009D0127"/>
    <w:rsid w:val="00A3447D"/>
    <w:rsid w:val="00A36770"/>
    <w:rsid w:val="00A42CAA"/>
    <w:rsid w:val="00A941B5"/>
    <w:rsid w:val="00AA1129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A5CA0"/>
    <w:rsid w:val="00CE68BE"/>
    <w:rsid w:val="00D36A3A"/>
    <w:rsid w:val="00D833E7"/>
    <w:rsid w:val="00D85AC9"/>
    <w:rsid w:val="00E064BE"/>
    <w:rsid w:val="00E32460"/>
    <w:rsid w:val="00E70AFC"/>
    <w:rsid w:val="00E71286"/>
    <w:rsid w:val="00EB3D0B"/>
    <w:rsid w:val="00EF6E7C"/>
    <w:rsid w:val="00F056CD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316D-A4BB-4422-8CA1-D6111227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1853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Durand, Maggie</cp:lastModifiedBy>
  <cp:revision>6</cp:revision>
  <dcterms:created xsi:type="dcterms:W3CDTF">2018-12-12T15:28:00Z</dcterms:created>
  <dcterms:modified xsi:type="dcterms:W3CDTF">2019-04-26T15:40:00Z</dcterms:modified>
</cp:coreProperties>
</file>