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FB2C" w14:textId="1F158E8D" w:rsidR="000F272E" w:rsidRDefault="000F272E" w:rsidP="000F272E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3B5EB" wp14:editId="2A45225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8D39" w14:textId="77777777" w:rsidR="000F272E" w:rsidRDefault="000F272E" w:rsidP="000F272E">
                            <w:pPr>
                              <w:pStyle w:val="NoSpacing"/>
                              <w:jc w:val="center"/>
                            </w:pPr>
                          </w:p>
                          <w:p w14:paraId="289E76A9" w14:textId="77777777" w:rsidR="000F272E" w:rsidRDefault="000F272E" w:rsidP="000F272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  <w:p w14:paraId="623AF8A6" w14:textId="77777777" w:rsidR="000F272E" w:rsidRDefault="000F272E" w:rsidP="000F272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B5E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7.5pt;margin-top:-1.45pt;width:53.1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WdJwIAAEgEAAAOAAAAZHJzL2Uyb0RvYy54bWysVE2P0zAQvSPxHyzfadLQj92o6WrpUoS0&#10;fEgLF26O7TQWtifYbpPur2fsdEu1wAWRg+XxjJ/fvJnJ6mYwmhyk8wpsRaeTnBJpOQhldxX9+mX7&#10;6ooSH5gVTIOVFT1KT2/WL1+s+q6UBbSghXQEQawv+66ibQhdmWWet9IwP4FOWnQ24AwLaLpdJhzr&#10;Ed3orMjzRdaDE50DLr3H07vRSdcJv2kkD5+axstAdEWRW0irS2sd12y9YuXOsa5V/ESD/QMLw5TF&#10;R89QdywwsnfqNyijuAMPTZhwMBk0jeIy5YDZTPNn2Ty0rJMpFxTHd2eZ/P+D5R8Pnx1RoqJzSiwz&#10;WKJvWCgiJAlyCJLMo0R950uMfOgwNgxvYMBSp3R9dw/8uycWNi2zO3nrHPStZAIpTuPN7OLqiOMj&#10;SN1/AIFvsX2ABDQ0zkT9UBGC6Fiq47k8yINwPFwsZ6+X6OHoWhSzIk/cMlY+Xe6cD+8kGBI3FXVY&#10;/QTODvc+RDKsfAqJb3nQSmyV1slwu3qjHTkw7JRt+hL/Z2Hakr6i1/NiPub/V4g8fX+CMCpgy2tl&#10;Knp1DmJlVO2tFakhA1N63CNlbU8yRuVGDcNQD6ey1CCOKKiDsbVxFHHTgnukpMe2rqj/sWdOUqLf&#10;WyzK9XQ2i3OQjNl8WaDhLj31pYdZjlAVDZSM201IsxMFs3CLxWtUEjZWeWRy4ortmvQ+jVach0s7&#10;Rf36Aax/AgAA//8DAFBLAwQUAAYACAAAACEAiofWfuAAAAAJAQAADwAAAGRycy9kb3ducmV2Lnht&#10;bEyPy07DMBBF90j8gzVIbFDrNDShCXEqhASiO2gr2LrxNInwI9huGv6eYQW7Gc3VmXOr9WQ0G9GH&#10;3lkBi3kCDG3jVG9bAfvd02wFLERpldTOooBvDLCuLy8qWSp3tm84bmPLCGJDKQV0MQ4l56Hp0Mgw&#10;dwNauh2dNzLS6luuvDwT3GieJknOjewtfejkgI8dNp/bkxGwWr6MH2Fz+/re5EddxJu78fnLC3F9&#10;NT3cA4s4xb8w/OqTOtTkdHAnqwLTxMgy6hIFzNICGAWKfJECO9CQLYHXFf/foP4BAAD//wMAUEsB&#10;Ai0AFAAGAAgAAAAhALaDOJL+AAAA4QEAABMAAAAAAAAAAAAAAAAAAAAAAFtDb250ZW50X1R5cGVz&#10;XS54bWxQSwECLQAUAAYACAAAACEAOP0h/9YAAACUAQAACwAAAAAAAAAAAAAAAAAvAQAAX3JlbHMv&#10;LnJlbHNQSwECLQAUAAYACAAAACEAeFpVnScCAABIBAAADgAAAAAAAAAAAAAAAAAuAgAAZHJzL2Uy&#10;b0RvYy54bWxQSwECLQAUAAYACAAAACEAiofWfuAAAAAJAQAADwAAAAAAAAAAAAAAAACBBAAAZHJz&#10;L2Rvd25yZXYueG1sUEsFBgAAAAAEAAQA8wAAAI4FAAAAAA==&#10;">
                <v:textbox>
                  <w:txbxContent>
                    <w:p w14:paraId="03888D39" w14:textId="77777777" w:rsidR="000F272E" w:rsidRDefault="000F272E" w:rsidP="000F272E">
                      <w:pPr>
                        <w:pStyle w:val="NoSpacing"/>
                        <w:jc w:val="center"/>
                      </w:pPr>
                    </w:p>
                    <w:p w14:paraId="289E76A9" w14:textId="77777777" w:rsidR="000F272E" w:rsidRDefault="000F272E" w:rsidP="000F272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  <w:p w14:paraId="623AF8A6" w14:textId="77777777" w:rsidR="000F272E" w:rsidRDefault="000F272E" w:rsidP="000F272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03C6EC4A" wp14:editId="0C75A8F9">
            <wp:simplePos x="0" y="0"/>
            <wp:positionH relativeFrom="column">
              <wp:posOffset>-454025</wp:posOffset>
            </wp:positionH>
            <wp:positionV relativeFrom="paragraph">
              <wp:posOffset>-16510</wp:posOffset>
            </wp:positionV>
            <wp:extent cx="654050" cy="6432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30" b="2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2373566"/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236939" wp14:editId="190A6F6D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EE8C" w14:textId="77777777" w:rsidR="000F272E" w:rsidRDefault="000F272E" w:rsidP="000F272E">
                            <w:pPr>
                              <w:pStyle w:val="NoSpacing"/>
                              <w:jc w:val="center"/>
                            </w:pPr>
                          </w:p>
                          <w:p w14:paraId="47091619" w14:textId="77777777" w:rsidR="000F272E" w:rsidRDefault="000F272E" w:rsidP="000F272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6939" id="Zone de texte 1" o:spid="_x0000_s1027" type="#_x0000_t202" style="position:absolute;left:0;text-align:left;margin-left:427.5pt;margin-top:-1.45pt;width:53.1pt;height:4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ahKgIAAE8EAAAOAAAAZHJzL2Uyb0RvYy54bWysVE2P0zAQvSPxHyzfadLSj92o6WrpUoS0&#10;fEgLF26O7TQWtifYbpPdX8/YyZYIOCFysOzM+OXNezPZ3vRGk7N0XoEt6XyWUyItB6HssaRfvxxe&#10;XVHiA7OCabCypI/S05vdyxfbri3kAhrQQjqCINYXXVvSJoS2yDLPG2mYn0ErLQZrcIYFPLpjJhzr&#10;EN3obJHn66wDJ1oHXHqPb++GIN0l/LqWPHyqay8D0SVFbiGtLq1VXLPdlhVHx9pG8ZEG+wcWhimL&#10;H71A3bHAyMmpP6CM4g481GHGwWRQ14rLVANWM89/q+ahYa1MtaA4vr3I5P8fLP94/uyIEugdJZYZ&#10;tOgbGkWEJEH2QZJ5lKhrfYGZDy3mhv4N9DE9luvbe+DfPbGwb5g9ylvnoGskE0gx3cwmVwccH0Gq&#10;7gMI/BY7BUhAfe1MBERFCKKjVY8Xe5AH4fhyvVm+3mCEY2i9WC7yVeSWseL5cut8eCfBkLgpqUP3&#10;Ezg73/swpD6nJPKglTgordPBHau9duTMsFMO6RnR/TRNW9KV9Hq1WA31T2N+CpGn528QRgVsea1M&#10;Sa8uSayIqr21IjVkYEoPe6xOWywyyhiVGzQMfdWPpo3uVCAeUVcHQ4fjROKmAfdESYfdXVL/48Sc&#10;pES/t+jN9Xy5jOOQDsvVZoEHN41U0wizHKFKGigZtvuQRijqZuEWPaxV0jeyHJiMlLFrk0PjhMWx&#10;mJ5T1q//wO4nAAAA//8DAFBLAwQUAAYACAAAACEAiofWfuAAAAAJAQAADwAAAGRycy9kb3ducmV2&#10;LnhtbEyPy07DMBBF90j8gzVIbFDrNDShCXEqhASiO2gr2LrxNInwI9huGv6eYQW7Gc3VmXOr9WQ0&#10;G9GH3lkBi3kCDG3jVG9bAfvd02wFLERpldTOooBvDLCuLy8qWSp3tm84bmPLCGJDKQV0MQ4l56Hp&#10;0MgwdwNauh2dNzLS6luuvDwT3GieJknOjewtfejkgI8dNp/bkxGwWr6MH2Fz+/re5EddxJu78fnL&#10;C3F9NT3cA4s4xb8w/OqTOtTkdHAnqwLTxMgy6hIFzNICGAWKfJECO9CQLYHXFf/foP4BAAD//wMA&#10;UEsBAi0AFAAGAAgAAAAhALaDOJL+AAAA4QEAABMAAAAAAAAAAAAAAAAAAAAAAFtDb250ZW50X1R5&#10;cGVzXS54bWxQSwECLQAUAAYACAAAACEAOP0h/9YAAACUAQAACwAAAAAAAAAAAAAAAAAvAQAAX3Jl&#10;bHMvLnJlbHNQSwECLQAUAAYACAAAACEAP6gGoSoCAABPBAAADgAAAAAAAAAAAAAAAAAuAgAAZHJz&#10;L2Uyb0RvYy54bWxQSwECLQAUAAYACAAAACEAiofWfuAAAAAJAQAADwAAAAAAAAAAAAAAAACEBAAA&#10;ZHJzL2Rvd25yZXYueG1sUEsFBgAAAAAEAAQA8wAAAJEFAAAAAA==&#10;">
                <v:textbox>
                  <w:txbxContent>
                    <w:p w14:paraId="0B61EE8C" w14:textId="77777777" w:rsidR="000F272E" w:rsidRDefault="000F272E" w:rsidP="000F272E">
                      <w:pPr>
                        <w:pStyle w:val="NoSpacing"/>
                        <w:jc w:val="center"/>
                      </w:pPr>
                    </w:p>
                    <w:p w14:paraId="47091619" w14:textId="77777777" w:rsidR="000F272E" w:rsidRDefault="000F272E" w:rsidP="000F272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lang w:val="fr-CA"/>
        </w:rPr>
        <w:t xml:space="preserve">Liste de vérification aux fins d’une demande </w:t>
      </w:r>
    </w:p>
    <w:p w14:paraId="65FC9AC1" w14:textId="77777777" w:rsidR="000F272E" w:rsidRDefault="000F272E" w:rsidP="000F272E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>
        <w:rPr>
          <w:color w:val="000000" w:themeColor="text1"/>
          <w:lang w:val="fr-CA"/>
        </w:rPr>
        <w:t>d’autorisation</w:t>
      </w:r>
      <w:proofErr w:type="gramEnd"/>
      <w:r>
        <w:rPr>
          <w:color w:val="000000" w:themeColor="text1"/>
          <w:lang w:val="fr-CA"/>
        </w:rPr>
        <w:t xml:space="preserve"> d’usage à des fins thérapeutiques (AUT)</w:t>
      </w:r>
      <w:bookmarkEnd w:id="0"/>
    </w:p>
    <w:p w14:paraId="53BDA9AD" w14:textId="67506366" w:rsidR="00F501D4" w:rsidRPr="000F272E" w:rsidRDefault="00CA6183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0F272E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Transplantation</w:t>
      </w:r>
      <w:r w:rsidR="000F272E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rénale</w:t>
      </w:r>
    </w:p>
    <w:p w14:paraId="5403833A" w14:textId="7465BF27" w:rsidR="00CA6183" w:rsidRPr="00003867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0F272E">
        <w:rPr>
          <w:i/>
          <w:lang w:val="fr-CA"/>
        </w:rPr>
        <w:t>Substances</w:t>
      </w:r>
      <w:r w:rsidR="000F272E">
        <w:rPr>
          <w:i/>
          <w:lang w:val="fr-CA"/>
        </w:rPr>
        <w:t xml:space="preserve"> interdites </w:t>
      </w:r>
      <w:r w:rsidRPr="000F272E">
        <w:rPr>
          <w:i/>
          <w:lang w:val="fr-CA"/>
        </w:rPr>
        <w:t xml:space="preserve">: </w:t>
      </w:r>
      <w:r w:rsidR="00CA6183" w:rsidRPr="00003867">
        <w:rPr>
          <w:i/>
          <w:lang w:val="fr-CA"/>
        </w:rPr>
        <w:t>glucocortico</w:t>
      </w:r>
      <w:r w:rsidR="00003867" w:rsidRPr="00003867">
        <w:rPr>
          <w:rFonts w:cs="Arial"/>
          <w:i/>
          <w:lang w:val="fr-CA"/>
        </w:rPr>
        <w:t>ï</w:t>
      </w:r>
      <w:r w:rsidR="00CA6183" w:rsidRPr="00003867">
        <w:rPr>
          <w:i/>
          <w:lang w:val="fr-CA"/>
        </w:rPr>
        <w:t>d</w:t>
      </w:r>
      <w:r w:rsidR="00003867" w:rsidRPr="00003867">
        <w:rPr>
          <w:i/>
          <w:lang w:val="fr-CA"/>
        </w:rPr>
        <w:t>e</w:t>
      </w:r>
      <w:r w:rsidR="00CA6183" w:rsidRPr="00003867">
        <w:rPr>
          <w:i/>
          <w:lang w:val="fr-CA"/>
        </w:rPr>
        <w:t>s</w:t>
      </w:r>
      <w:r w:rsidR="00003867" w:rsidRPr="00003867">
        <w:rPr>
          <w:i/>
          <w:lang w:val="fr-CA"/>
        </w:rPr>
        <w:t xml:space="preserve"> à action générale, érythropo</w:t>
      </w:r>
      <w:r w:rsidR="00003867" w:rsidRPr="00003867">
        <w:rPr>
          <w:rFonts w:cs="Arial"/>
          <w:i/>
          <w:lang w:val="fr-CA"/>
        </w:rPr>
        <w:t>ï</w:t>
      </w:r>
      <w:r w:rsidR="00003867" w:rsidRPr="00003867">
        <w:rPr>
          <w:i/>
          <w:lang w:val="fr-CA"/>
        </w:rPr>
        <w:t>étine (EPO), diurétique</w:t>
      </w:r>
      <w:r w:rsidR="00CA6183" w:rsidRPr="00003867">
        <w:rPr>
          <w:i/>
          <w:lang w:val="fr-CA"/>
        </w:rPr>
        <w:t xml:space="preserve">s, </w:t>
      </w:r>
    </w:p>
    <w:p w14:paraId="73BB5B3F" w14:textId="189F9AA3" w:rsidR="000D7D30" w:rsidRPr="00003867" w:rsidRDefault="00003867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proofErr w:type="gramStart"/>
      <w:r w:rsidRPr="00003867">
        <w:rPr>
          <w:i/>
          <w:lang w:val="fr-CA"/>
        </w:rPr>
        <w:t>bêta</w:t>
      </w:r>
      <w:r w:rsidR="00CA6183" w:rsidRPr="00003867">
        <w:rPr>
          <w:i/>
          <w:lang w:val="fr-CA"/>
        </w:rPr>
        <w:t>blo</w:t>
      </w:r>
      <w:r w:rsidRPr="00003867">
        <w:rPr>
          <w:i/>
          <w:lang w:val="fr-CA"/>
        </w:rPr>
        <w:t>quant</w:t>
      </w:r>
      <w:r w:rsidR="00CA6183" w:rsidRPr="00003867">
        <w:rPr>
          <w:i/>
          <w:lang w:val="fr-CA"/>
        </w:rPr>
        <w:t>s</w:t>
      </w:r>
      <w:proofErr w:type="gramEnd"/>
      <w:r w:rsidR="00CA6183" w:rsidRPr="00003867">
        <w:rPr>
          <w:i/>
          <w:lang w:val="fr-CA"/>
        </w:rPr>
        <w:t xml:space="preserve">, </w:t>
      </w:r>
      <w:r w:rsidRPr="00003867">
        <w:rPr>
          <w:i/>
          <w:lang w:val="fr-CA"/>
        </w:rPr>
        <w:t xml:space="preserve">inhibiteurs </w:t>
      </w:r>
      <w:r w:rsidRPr="008A2681">
        <w:rPr>
          <w:rFonts w:cs="Arial"/>
          <w:i/>
          <w:color w:val="000000"/>
          <w:lang w:val="fr-CA"/>
        </w:rPr>
        <w:t xml:space="preserve">de la </w:t>
      </w:r>
      <w:proofErr w:type="spellStart"/>
      <w:r w:rsidRPr="008A2681">
        <w:rPr>
          <w:rFonts w:cs="Arial"/>
          <w:i/>
          <w:color w:val="000000"/>
          <w:lang w:val="fr-CA"/>
        </w:rPr>
        <w:t>prolyl</w:t>
      </w:r>
      <w:proofErr w:type="spellEnd"/>
      <w:r w:rsidRPr="008A2681">
        <w:rPr>
          <w:rFonts w:cs="Arial"/>
          <w:i/>
          <w:color w:val="000000"/>
          <w:lang w:val="fr-CA"/>
        </w:rPr>
        <w:t xml:space="preserve"> hydroxylase du facteur inductible par l’hypoxie (HIF)</w:t>
      </w:r>
    </w:p>
    <w:p w14:paraId="73319113" w14:textId="77777777" w:rsidR="00D46568" w:rsidRPr="000F272E" w:rsidRDefault="00D46568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5693AB6" w14:textId="4061558E" w:rsidR="000F272E" w:rsidRDefault="000F272E" w:rsidP="0026398C">
      <w:pPr>
        <w:ind w:left="-567" w:right="-90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>
        <w:rPr>
          <w:rFonts w:cs="Arial"/>
          <w:sz w:val="20"/>
          <w:szCs w:val="20"/>
          <w:lang w:val="fr-CA"/>
        </w:rPr>
        <w:t xml:space="preserve">Cette liste de vérification 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respectés. </w:t>
      </w:r>
    </w:p>
    <w:p w14:paraId="0CC2167B" w14:textId="029812CA" w:rsidR="00D46568" w:rsidRPr="000F272E" w:rsidRDefault="000F272E" w:rsidP="0026398C">
      <w:pPr>
        <w:ind w:left="-567" w:right="-90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>
        <w:rPr>
          <w:rFonts w:cs="Arial"/>
          <w:sz w:val="20"/>
          <w:szCs w:val="20"/>
          <w:lang w:val="fr-CA"/>
        </w:rPr>
        <w:t xml:space="preserve"> 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 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508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68"/>
        <w:gridCol w:w="9455"/>
      </w:tblGrid>
      <w:tr w:rsidR="00CA6183" w:rsidRPr="008A2681" w14:paraId="3CA152CA" w14:textId="77777777" w:rsidTr="0026398C">
        <w:trPr>
          <w:trHeight w:val="437"/>
          <w:jc w:val="center"/>
        </w:trPr>
        <w:tc>
          <w:tcPr>
            <w:tcW w:w="585" w:type="dxa"/>
            <w:shd w:val="clear" w:color="auto" w:fill="81CB7B"/>
          </w:tcPr>
          <w:p w14:paraId="3372A043" w14:textId="77777777" w:rsidR="00CA6183" w:rsidRPr="000F272E" w:rsidRDefault="00CA6183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23" w:type="dxa"/>
            <w:gridSpan w:val="2"/>
            <w:shd w:val="clear" w:color="auto" w:fill="81CB7B"/>
          </w:tcPr>
          <w:p w14:paraId="4F7AFF4F" w14:textId="32C41CE2" w:rsidR="00CA6183" w:rsidRPr="000F272E" w:rsidRDefault="000F272E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:</w:t>
            </w:r>
          </w:p>
        </w:tc>
      </w:tr>
      <w:tr w:rsidR="000F272E" w:rsidRPr="008A2681" w14:paraId="6C9D9EAB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13F1E81A" w14:textId="77777777" w:rsidR="000F272E" w:rsidRPr="000F272E" w:rsidRDefault="000F272E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4261E352" w14:textId="77777777" w:rsidR="000F272E" w:rsidRPr="000F272E" w:rsidRDefault="000F272E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405A8B45" w14:textId="3B369D8F" w:rsidR="000F272E" w:rsidRPr="000F272E" w:rsidRDefault="000F272E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Toutes les sections doivent être remplies à la main dans une écriture lisible.</w:t>
            </w:r>
          </w:p>
        </w:tc>
        <w:bookmarkStart w:id="2" w:name="_GoBack"/>
        <w:bookmarkEnd w:id="2"/>
      </w:tr>
      <w:tr w:rsidR="000F272E" w:rsidRPr="008A2681" w14:paraId="7B58A41A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75DD06B2" w14:textId="7777777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3B56CF2E" w14:textId="7777777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  <w:vAlign w:val="center"/>
          </w:tcPr>
          <w:p w14:paraId="0C56DC93" w14:textId="7CEDE9D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0F272E" w:rsidRPr="008A2681" w14:paraId="5C805CA0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129C7C33" w14:textId="7777777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185562A8" w14:textId="7777777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  <w:vAlign w:val="center"/>
          </w:tcPr>
          <w:p w14:paraId="1EB68E5E" w14:textId="42FD5900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0F272E" w:rsidRPr="008A2681" w14:paraId="067A1991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436E53F8" w14:textId="7777777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7A9835DE" w14:textId="77777777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  <w:vAlign w:val="center"/>
          </w:tcPr>
          <w:p w14:paraId="3C57919D" w14:textId="638DCA2E" w:rsidR="000F272E" w:rsidRPr="000F272E" w:rsidRDefault="000F272E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CA6183" w:rsidRPr="008A2681" w14:paraId="4387609B" w14:textId="77777777" w:rsidTr="0026398C">
        <w:trPr>
          <w:jc w:val="center"/>
        </w:trPr>
        <w:tc>
          <w:tcPr>
            <w:tcW w:w="585" w:type="dxa"/>
            <w:shd w:val="clear" w:color="auto" w:fill="81CB7B"/>
          </w:tcPr>
          <w:p w14:paraId="153387E0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23" w:type="dxa"/>
            <w:gridSpan w:val="2"/>
            <w:shd w:val="clear" w:color="auto" w:fill="81CB7B"/>
          </w:tcPr>
          <w:p w14:paraId="74F058B0" w14:textId="098A5F5D" w:rsidR="00CA6183" w:rsidRPr="000F272E" w:rsidRDefault="000F272E" w:rsidP="000F272E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comprendre les éléments suivants :</w:t>
            </w:r>
          </w:p>
        </w:tc>
      </w:tr>
      <w:tr w:rsidR="00CA6183" w:rsidRPr="008A2681" w14:paraId="19C8D0DD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3B920023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6B1C12C8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2F097B38" w14:textId="4D8A8CD4" w:rsidR="00CA6183" w:rsidRPr="000F272E" w:rsidRDefault="000F272E" w:rsidP="00B23995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Données anamnestiques : </w:t>
            </w:r>
            <w:r w:rsidR="00B23995">
              <w:rPr>
                <w:sz w:val="20"/>
                <w:szCs w:val="20"/>
                <w:lang w:val="fr-CA"/>
              </w:rPr>
              <w:t>symptô</w:t>
            </w:r>
            <w:r w:rsidR="00B23995" w:rsidRPr="000F272E">
              <w:rPr>
                <w:sz w:val="20"/>
                <w:szCs w:val="20"/>
                <w:lang w:val="fr-CA"/>
              </w:rPr>
              <w:t>m</w:t>
            </w:r>
            <w:r w:rsidR="00B23995">
              <w:rPr>
                <w:sz w:val="20"/>
                <w:szCs w:val="20"/>
                <w:lang w:val="fr-CA"/>
              </w:rPr>
              <w:t>e</w:t>
            </w:r>
            <w:r w:rsidR="00B23995" w:rsidRPr="000F272E">
              <w:rPr>
                <w:sz w:val="20"/>
                <w:szCs w:val="20"/>
                <w:lang w:val="fr-CA"/>
              </w:rPr>
              <w:t>s,</w:t>
            </w:r>
            <w:r w:rsidR="00B23995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â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ge </w:t>
            </w:r>
            <w:r>
              <w:rPr>
                <w:sz w:val="20"/>
                <w:szCs w:val="20"/>
                <w:lang w:val="fr-CA"/>
              </w:rPr>
              <w:t>à l’apparition des symptômes, démarche diagnostique du médecin traitant</w:t>
            </w:r>
          </w:p>
        </w:tc>
      </w:tr>
      <w:tr w:rsidR="00CA6183" w:rsidRPr="008A2681" w14:paraId="60ADD9BD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480166A2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78CB1F1A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237528E0" w14:textId="1C6B62B3" w:rsidR="00CA6183" w:rsidRPr="000F272E" w:rsidRDefault="000F272E" w:rsidP="00B23995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Description du déclin de la fonction rénale et preuves </w:t>
            </w:r>
            <w:r w:rsidR="00C948B0">
              <w:rPr>
                <w:sz w:val="20"/>
                <w:szCs w:val="20"/>
                <w:lang w:val="fr-CA"/>
              </w:rPr>
              <w:t>de satisfaction aux</w:t>
            </w:r>
            <w:r>
              <w:rPr>
                <w:sz w:val="20"/>
                <w:szCs w:val="20"/>
                <w:lang w:val="fr-CA"/>
              </w:rPr>
              <w:t xml:space="preserve"> critères justifiant la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 transplantation </w:t>
            </w:r>
            <w:r>
              <w:rPr>
                <w:sz w:val="20"/>
                <w:szCs w:val="20"/>
                <w:lang w:val="fr-CA"/>
              </w:rPr>
              <w:t xml:space="preserve">rénale </w:t>
            </w:r>
            <w:r w:rsidR="00C948B0">
              <w:rPr>
                <w:sz w:val="20"/>
                <w:szCs w:val="20"/>
                <w:lang w:val="fr-CA"/>
              </w:rPr>
              <w:t>fournies par un néphrologue ou</w:t>
            </w:r>
            <w:r w:rsidR="000E6ABB">
              <w:rPr>
                <w:sz w:val="20"/>
                <w:szCs w:val="20"/>
                <w:lang w:val="fr-CA"/>
              </w:rPr>
              <w:t xml:space="preserve"> </w:t>
            </w:r>
            <w:r w:rsidR="00C948B0">
              <w:rPr>
                <w:sz w:val="20"/>
                <w:szCs w:val="20"/>
                <w:lang w:val="fr-CA"/>
              </w:rPr>
              <w:t xml:space="preserve">portant sa </w:t>
            </w:r>
            <w:r w:rsidR="000E6ABB">
              <w:rPr>
                <w:sz w:val="20"/>
                <w:szCs w:val="20"/>
                <w:lang w:val="fr-CA"/>
              </w:rPr>
              <w:t>signature</w:t>
            </w:r>
            <w:r w:rsidR="00CA6183" w:rsidRPr="000F272E">
              <w:rPr>
                <w:sz w:val="20"/>
                <w:szCs w:val="20"/>
                <w:lang w:val="fr-CA"/>
              </w:rPr>
              <w:t>.</w:t>
            </w:r>
            <w:r w:rsidR="000E6ABB">
              <w:rPr>
                <w:sz w:val="20"/>
                <w:szCs w:val="20"/>
                <w:lang w:val="fr-CA"/>
              </w:rPr>
              <w:t xml:space="preserve"> L’information peut être fournie par le médecin traitant et validée par un néphrologue.</w:t>
            </w:r>
          </w:p>
        </w:tc>
      </w:tr>
      <w:tr w:rsidR="00CA6183" w:rsidRPr="008A2681" w14:paraId="67F4F624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088702A0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3E7C7B3B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48906EBC" w14:textId="70890F01" w:rsidR="00CA6183" w:rsidRPr="000F272E" w:rsidRDefault="000E6ABB" w:rsidP="000E6ABB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Rapport opératoire de la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 transplantation </w:t>
            </w:r>
            <w:r>
              <w:rPr>
                <w:sz w:val="20"/>
                <w:szCs w:val="20"/>
                <w:lang w:val="fr-CA"/>
              </w:rPr>
              <w:t>signé par le chirurgien</w:t>
            </w:r>
          </w:p>
        </w:tc>
      </w:tr>
      <w:tr w:rsidR="00CA6183" w:rsidRPr="008A2681" w14:paraId="5C64EEC0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3B93A6BC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2A70441A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2FF17010" w14:textId="7DA05F9A" w:rsidR="00CA6183" w:rsidRPr="000F272E" w:rsidRDefault="00C948B0" w:rsidP="0064336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Dans les cas de rejet/dysfo</w:t>
            </w:r>
            <w:r w:rsidR="00CA6183" w:rsidRPr="000F272E">
              <w:rPr>
                <w:sz w:val="20"/>
                <w:szCs w:val="20"/>
                <w:lang w:val="fr-CA"/>
              </w:rPr>
              <w:t>nction</w:t>
            </w:r>
            <w:r>
              <w:rPr>
                <w:sz w:val="20"/>
                <w:szCs w:val="20"/>
                <w:lang w:val="fr-CA"/>
              </w:rPr>
              <w:t xml:space="preserve"> du greffon</w:t>
            </w:r>
            <w:r w:rsidR="0064336E">
              <w:rPr>
                <w:sz w:val="20"/>
                <w:szCs w:val="20"/>
                <w:lang w:val="fr-CA"/>
              </w:rPr>
              <w:t> :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preuves à cet égard fournies par un néphrologue ou portant sa signature</w:t>
            </w:r>
          </w:p>
        </w:tc>
      </w:tr>
      <w:tr w:rsidR="00CA6183" w:rsidRPr="008A2681" w14:paraId="4BFE0E9C" w14:textId="77777777" w:rsidTr="0026398C">
        <w:trPr>
          <w:trHeight w:val="613"/>
          <w:jc w:val="center"/>
        </w:trPr>
        <w:tc>
          <w:tcPr>
            <w:tcW w:w="585" w:type="dxa"/>
            <w:shd w:val="clear" w:color="auto" w:fill="BDE4BA"/>
          </w:tcPr>
          <w:p w14:paraId="27282CE5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4B4F0B4E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32719F6E" w14:textId="63333A80" w:rsidR="00CA6183" w:rsidRPr="000F272E" w:rsidRDefault="0064336E" w:rsidP="0064336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En présence d</w:t>
            </w:r>
            <w:r w:rsidR="00C948B0">
              <w:rPr>
                <w:sz w:val="20"/>
                <w:szCs w:val="20"/>
                <w:lang w:val="fr-CA"/>
              </w:rPr>
              <w:t xml:space="preserve">e complications cardiovasculaires </w:t>
            </w:r>
            <w:r>
              <w:rPr>
                <w:sz w:val="20"/>
                <w:szCs w:val="20"/>
                <w:lang w:val="fr-CA"/>
              </w:rPr>
              <w:t>: preuves d’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hypertension </w:t>
            </w:r>
            <w:r>
              <w:rPr>
                <w:sz w:val="20"/>
                <w:szCs w:val="20"/>
                <w:lang w:val="fr-CA"/>
              </w:rPr>
              <w:t xml:space="preserve">artérielle ou de cardiopathie </w:t>
            </w:r>
            <w:r w:rsidR="00CA6183" w:rsidRPr="000F272E">
              <w:rPr>
                <w:sz w:val="20"/>
                <w:szCs w:val="20"/>
                <w:lang w:val="fr-CA"/>
              </w:rPr>
              <w:t>isch</w:t>
            </w:r>
            <w:r>
              <w:rPr>
                <w:sz w:val="20"/>
                <w:szCs w:val="20"/>
                <w:lang w:val="fr-CA"/>
              </w:rPr>
              <w:t>é</w:t>
            </w:r>
            <w:r w:rsidR="00CA6183" w:rsidRPr="000F272E">
              <w:rPr>
                <w:sz w:val="20"/>
                <w:szCs w:val="20"/>
                <w:lang w:val="fr-CA"/>
              </w:rPr>
              <w:t>mi</w:t>
            </w:r>
            <w:r>
              <w:rPr>
                <w:sz w:val="20"/>
                <w:szCs w:val="20"/>
                <w:lang w:val="fr-CA"/>
              </w:rPr>
              <w:t>que et justification thérapeutique de l’utilisation d’un bêtabloquant fournies par le médecin traitant ou un cardiologue</w:t>
            </w:r>
          </w:p>
        </w:tc>
      </w:tr>
      <w:tr w:rsidR="00CA6183" w:rsidRPr="008A2681" w14:paraId="19717EC0" w14:textId="77777777" w:rsidTr="0026398C">
        <w:trPr>
          <w:trHeight w:val="908"/>
          <w:jc w:val="center"/>
        </w:trPr>
        <w:tc>
          <w:tcPr>
            <w:tcW w:w="585" w:type="dxa"/>
            <w:shd w:val="clear" w:color="auto" w:fill="BDE4BA"/>
          </w:tcPr>
          <w:p w14:paraId="6C8353BB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05301DB4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21F0441B" w14:textId="5ACE9E42" w:rsidR="00CA6183" w:rsidRPr="000F272E" w:rsidRDefault="00CA6183" w:rsidP="00003867">
            <w:pPr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F272E">
              <w:rPr>
                <w:sz w:val="20"/>
                <w:szCs w:val="20"/>
                <w:lang w:val="fr-CA"/>
              </w:rPr>
              <w:t>Substance(s) prescri</w:t>
            </w:r>
            <w:r w:rsidR="00C948B0">
              <w:rPr>
                <w:sz w:val="20"/>
                <w:szCs w:val="20"/>
                <w:lang w:val="fr-CA"/>
              </w:rPr>
              <w:t>t</w:t>
            </w:r>
            <w:r w:rsidRPr="000F272E">
              <w:rPr>
                <w:sz w:val="20"/>
                <w:szCs w:val="20"/>
                <w:lang w:val="fr-CA"/>
              </w:rPr>
              <w:t>e</w:t>
            </w:r>
            <w:r w:rsidR="00C948B0">
              <w:rPr>
                <w:sz w:val="20"/>
                <w:szCs w:val="20"/>
                <w:lang w:val="fr-CA"/>
              </w:rPr>
              <w:t>(s)</w:t>
            </w:r>
            <w:r w:rsidRPr="000F272E">
              <w:rPr>
                <w:sz w:val="20"/>
                <w:szCs w:val="20"/>
                <w:lang w:val="fr-CA"/>
              </w:rPr>
              <w:t xml:space="preserve"> (</w:t>
            </w:r>
            <w:r w:rsidR="00C948B0">
              <w:rPr>
                <w:sz w:val="20"/>
                <w:szCs w:val="20"/>
                <w:lang w:val="fr-CA"/>
              </w:rPr>
              <w:t>les glucocortico</w:t>
            </w:r>
            <w:r w:rsidR="0064336E">
              <w:rPr>
                <w:rFonts w:cs="Arial"/>
                <w:sz w:val="20"/>
                <w:szCs w:val="20"/>
                <w:lang w:val="fr-CA"/>
              </w:rPr>
              <w:t>ï</w:t>
            </w:r>
            <w:r w:rsidR="00C948B0">
              <w:rPr>
                <w:sz w:val="20"/>
                <w:szCs w:val="20"/>
                <w:lang w:val="fr-CA"/>
              </w:rPr>
              <w:t>d</w:t>
            </w:r>
            <w:r w:rsidR="0064336E">
              <w:rPr>
                <w:sz w:val="20"/>
                <w:szCs w:val="20"/>
                <w:lang w:val="fr-CA"/>
              </w:rPr>
              <w:t>e</w:t>
            </w:r>
            <w:r w:rsidR="00C948B0">
              <w:rPr>
                <w:sz w:val="20"/>
                <w:szCs w:val="20"/>
                <w:lang w:val="fr-CA"/>
              </w:rPr>
              <w:t>s</w:t>
            </w:r>
            <w:r w:rsidR="0064336E">
              <w:rPr>
                <w:sz w:val="20"/>
                <w:szCs w:val="20"/>
                <w:lang w:val="fr-CA"/>
              </w:rPr>
              <w:t xml:space="preserve"> à action générale</w:t>
            </w:r>
            <w:r w:rsidR="00C948B0">
              <w:rPr>
                <w:sz w:val="20"/>
                <w:szCs w:val="20"/>
                <w:lang w:val="fr-CA"/>
              </w:rPr>
              <w:t xml:space="preserve">, </w:t>
            </w:r>
            <w:r w:rsidR="0064336E">
              <w:rPr>
                <w:sz w:val="20"/>
                <w:szCs w:val="20"/>
                <w:lang w:val="fr-CA"/>
              </w:rPr>
              <w:t>l’</w:t>
            </w:r>
            <w:r w:rsidR="00C948B0">
              <w:rPr>
                <w:sz w:val="20"/>
                <w:szCs w:val="20"/>
                <w:lang w:val="fr-CA"/>
              </w:rPr>
              <w:t xml:space="preserve">EPO, </w:t>
            </w:r>
            <w:r w:rsidR="0064336E">
              <w:rPr>
                <w:sz w:val="20"/>
                <w:szCs w:val="20"/>
                <w:lang w:val="fr-CA"/>
              </w:rPr>
              <w:t xml:space="preserve">les </w:t>
            </w:r>
            <w:r w:rsidR="00C948B0">
              <w:rPr>
                <w:sz w:val="20"/>
                <w:szCs w:val="20"/>
                <w:lang w:val="fr-CA"/>
              </w:rPr>
              <w:t>diurétiques</w:t>
            </w:r>
            <w:r w:rsidRPr="000F272E">
              <w:rPr>
                <w:sz w:val="20"/>
                <w:szCs w:val="20"/>
                <w:lang w:val="fr-CA"/>
              </w:rPr>
              <w:t>,</w:t>
            </w:r>
            <w:r w:rsidR="0064336E">
              <w:rPr>
                <w:sz w:val="20"/>
                <w:szCs w:val="20"/>
                <w:lang w:val="fr-CA"/>
              </w:rPr>
              <w:t xml:space="preserve"> les</w:t>
            </w:r>
            <w:r w:rsidRPr="000F272E">
              <w:rPr>
                <w:sz w:val="20"/>
                <w:szCs w:val="20"/>
                <w:lang w:val="fr-CA"/>
              </w:rPr>
              <w:t xml:space="preserve"> b</w:t>
            </w:r>
            <w:r w:rsidR="00C948B0">
              <w:rPr>
                <w:sz w:val="20"/>
                <w:szCs w:val="20"/>
                <w:lang w:val="fr-CA"/>
              </w:rPr>
              <w:t>ê</w:t>
            </w:r>
            <w:r w:rsidRPr="000F272E">
              <w:rPr>
                <w:sz w:val="20"/>
                <w:szCs w:val="20"/>
                <w:lang w:val="fr-CA"/>
              </w:rPr>
              <w:t>tablo</w:t>
            </w:r>
            <w:r w:rsidR="00C948B0">
              <w:rPr>
                <w:sz w:val="20"/>
                <w:szCs w:val="20"/>
                <w:lang w:val="fr-CA"/>
              </w:rPr>
              <w:t>quant</w:t>
            </w:r>
            <w:r w:rsidRPr="000F272E">
              <w:rPr>
                <w:sz w:val="20"/>
                <w:szCs w:val="20"/>
                <w:lang w:val="fr-CA"/>
              </w:rPr>
              <w:t>s</w:t>
            </w:r>
            <w:r w:rsidR="0064336E">
              <w:rPr>
                <w:sz w:val="20"/>
                <w:szCs w:val="20"/>
                <w:lang w:val="fr-CA"/>
              </w:rPr>
              <w:t xml:space="preserve"> et les</w:t>
            </w:r>
            <w:r w:rsidRPr="000F272E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64336E" w:rsidRPr="008A2681">
              <w:rPr>
                <w:rFonts w:cs="Arial"/>
                <w:color w:val="000000"/>
                <w:sz w:val="20"/>
                <w:szCs w:val="20"/>
                <w:lang w:val="fr-CA"/>
              </w:rPr>
              <w:t>HIF</w:t>
            </w:r>
            <w:r w:rsidR="0064336E" w:rsidRPr="008A2681">
              <w:rPr>
                <w:color w:val="000000"/>
                <w:lang w:val="fr-CA"/>
              </w:rPr>
              <w:t xml:space="preserve"> </w:t>
            </w:r>
            <w:r w:rsidR="00C948B0">
              <w:rPr>
                <w:rFonts w:eastAsia="Times New Roman" w:cs="Arial"/>
                <w:sz w:val="20"/>
                <w:szCs w:val="20"/>
                <w:lang w:val="fr-CA"/>
              </w:rPr>
              <w:t>sont toutes des substances interdites</w:t>
            </w:r>
            <w:r w:rsidRPr="000F272E">
              <w:rPr>
                <w:rFonts w:eastAsia="Times New Roman" w:cs="Arial"/>
                <w:sz w:val="20"/>
                <w:szCs w:val="20"/>
                <w:lang w:val="fr-CA"/>
              </w:rPr>
              <w:t>)</w:t>
            </w:r>
            <w:r w:rsidR="00C948B0">
              <w:rPr>
                <w:rFonts w:eastAsia="Times New Roman" w:cs="Arial"/>
                <w:sz w:val="20"/>
                <w:szCs w:val="20"/>
                <w:lang w:val="fr-CA"/>
              </w:rPr>
              <w:t>, y compris la posologie (dose et fréquence) et la voie d’</w:t>
            </w:r>
            <w:r w:rsidRPr="000F272E">
              <w:rPr>
                <w:sz w:val="20"/>
                <w:szCs w:val="20"/>
                <w:lang w:val="fr-CA"/>
              </w:rPr>
              <w:t>administration</w:t>
            </w:r>
            <w:r w:rsidR="00C948B0">
              <w:rPr>
                <w:sz w:val="20"/>
                <w:szCs w:val="20"/>
                <w:lang w:val="fr-CA"/>
              </w:rPr>
              <w:t xml:space="preserve"> pour chaque </w:t>
            </w:r>
            <w:r w:rsidRPr="000F272E">
              <w:rPr>
                <w:sz w:val="20"/>
                <w:szCs w:val="20"/>
                <w:lang w:val="fr-CA"/>
              </w:rPr>
              <w:t>substance</w:t>
            </w:r>
          </w:p>
        </w:tc>
      </w:tr>
      <w:tr w:rsidR="00CA6183" w:rsidRPr="008A2681" w14:paraId="613C730C" w14:textId="77777777" w:rsidTr="0026398C">
        <w:trPr>
          <w:trHeight w:val="564"/>
          <w:jc w:val="center"/>
        </w:trPr>
        <w:tc>
          <w:tcPr>
            <w:tcW w:w="585" w:type="dxa"/>
            <w:shd w:val="clear" w:color="auto" w:fill="81CB7B"/>
          </w:tcPr>
          <w:p w14:paraId="32185568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23" w:type="dxa"/>
            <w:gridSpan w:val="2"/>
            <w:shd w:val="clear" w:color="auto" w:fill="81CB7B"/>
          </w:tcPr>
          <w:p w14:paraId="6A913F76" w14:textId="4DCFEAFB" w:rsidR="00CA6183" w:rsidRPr="000F272E" w:rsidRDefault="000F272E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résultats de tests diagnostiques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 une copie des épreuves suivantes :</w:t>
            </w:r>
          </w:p>
        </w:tc>
      </w:tr>
      <w:tr w:rsidR="00CA6183" w:rsidRPr="008A2681" w14:paraId="24B082A2" w14:textId="77777777" w:rsidTr="0026398C">
        <w:trPr>
          <w:trHeight w:val="647"/>
          <w:jc w:val="center"/>
        </w:trPr>
        <w:tc>
          <w:tcPr>
            <w:tcW w:w="585" w:type="dxa"/>
            <w:shd w:val="clear" w:color="auto" w:fill="BDE4BA"/>
          </w:tcPr>
          <w:p w14:paraId="671683C0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65C94845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75E67201" w14:textId="504E8F62" w:rsidR="00CA6183" w:rsidRPr="000F272E" w:rsidRDefault="0064336E" w:rsidP="00D675A7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</w:t>
            </w:r>
            <w:r w:rsidR="00CA6183" w:rsidRPr="000F272E">
              <w:rPr>
                <w:sz w:val="20"/>
                <w:szCs w:val="20"/>
                <w:lang w:val="fr-CA"/>
              </w:rPr>
              <w:t>aborato</w:t>
            </w:r>
            <w:r>
              <w:rPr>
                <w:sz w:val="20"/>
                <w:szCs w:val="20"/>
                <w:lang w:val="fr-CA"/>
              </w:rPr>
              <w:t xml:space="preserve">ire </w:t>
            </w:r>
            <w:r w:rsidR="00D675A7">
              <w:rPr>
                <w:sz w:val="20"/>
                <w:szCs w:val="20"/>
                <w:lang w:val="fr-CA"/>
              </w:rPr>
              <w:t>démontr</w:t>
            </w:r>
            <w:r w:rsidR="00E56AF9">
              <w:rPr>
                <w:sz w:val="20"/>
                <w:szCs w:val="20"/>
                <w:lang w:val="fr-CA"/>
              </w:rPr>
              <w:t>ant le déclin de la fonction rénale avant la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 transplantation; </w:t>
            </w:r>
            <w:r w:rsidR="00E56AF9">
              <w:rPr>
                <w:sz w:val="20"/>
                <w:szCs w:val="20"/>
                <w:lang w:val="fr-CA"/>
              </w:rPr>
              <w:t xml:space="preserve">analyses sanguines attestant de la présence d’anémie </w:t>
            </w:r>
            <w:r w:rsidR="00003867">
              <w:rPr>
                <w:sz w:val="20"/>
                <w:szCs w:val="20"/>
                <w:lang w:val="fr-CA"/>
              </w:rPr>
              <w:t xml:space="preserve">dans le cas d’un traitement par EPO </w:t>
            </w:r>
          </w:p>
        </w:tc>
      </w:tr>
      <w:tr w:rsidR="00CA6183" w:rsidRPr="008A2681" w14:paraId="43B481A5" w14:textId="77777777" w:rsidTr="0026398C">
        <w:trPr>
          <w:trHeight w:val="620"/>
          <w:jc w:val="center"/>
        </w:trPr>
        <w:tc>
          <w:tcPr>
            <w:tcW w:w="585" w:type="dxa"/>
            <w:shd w:val="clear" w:color="auto" w:fill="BDE4BA"/>
          </w:tcPr>
          <w:p w14:paraId="2290347B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113A0BEF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7AE87A9B" w14:textId="2BDE636B" w:rsidR="00CA6183" w:rsidRPr="000F272E" w:rsidRDefault="00003867" w:rsidP="00003867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Mesures de la tension artérielle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; </w:t>
            </w:r>
            <w:r>
              <w:rPr>
                <w:sz w:val="20"/>
                <w:szCs w:val="20"/>
                <w:lang w:val="fr-CA"/>
              </w:rPr>
              <w:t>électrocardiogramme (</w:t>
            </w:r>
            <w:r w:rsidR="00CA6183" w:rsidRPr="000F272E">
              <w:rPr>
                <w:sz w:val="20"/>
                <w:szCs w:val="20"/>
                <w:lang w:val="fr-CA"/>
              </w:rPr>
              <w:t>ECG</w:t>
            </w:r>
            <w:r>
              <w:rPr>
                <w:sz w:val="20"/>
                <w:szCs w:val="20"/>
                <w:lang w:val="fr-CA"/>
              </w:rPr>
              <w:t>)</w:t>
            </w:r>
            <w:r w:rsidR="00CA6183" w:rsidRPr="000F272E">
              <w:rPr>
                <w:sz w:val="20"/>
                <w:szCs w:val="20"/>
                <w:lang w:val="fr-CA"/>
              </w:rPr>
              <w:t xml:space="preserve">, </w:t>
            </w:r>
            <w:r w:rsidR="00CA6183" w:rsidRPr="000F272E">
              <w:rPr>
                <w:rFonts w:eastAsia="Times New Roman" w:cs="Arial"/>
                <w:sz w:val="20"/>
                <w:szCs w:val="20"/>
                <w:lang w:val="fr-CA"/>
              </w:rPr>
              <w:t>coronar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ographie par tomodensitométrie</w:t>
            </w:r>
            <w:r w:rsidR="00CA6183" w:rsidRPr="000F272E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>échocardiographie</w:t>
            </w:r>
            <w:r w:rsidR="00CA6183" w:rsidRPr="000F272E">
              <w:rPr>
                <w:rFonts w:eastAsia="Times New Roman" w:cs="Arial"/>
                <w:sz w:val="20"/>
                <w:szCs w:val="20"/>
                <w:lang w:val="fr-CA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fr-CA"/>
              </w:rPr>
              <w:t xml:space="preserve">angiographie coronarienne, etc., s’il y a lieu, </w:t>
            </w:r>
            <w:r>
              <w:rPr>
                <w:sz w:val="20"/>
                <w:szCs w:val="20"/>
                <w:lang w:val="fr-CA"/>
              </w:rPr>
              <w:t>dans le cas d’un traitement par un diurétique ou un bê</w:t>
            </w:r>
            <w:r w:rsidR="00CA6183" w:rsidRPr="000F272E">
              <w:rPr>
                <w:sz w:val="20"/>
                <w:szCs w:val="20"/>
                <w:lang w:val="fr-CA"/>
              </w:rPr>
              <w:t>tablo</w:t>
            </w:r>
            <w:r>
              <w:rPr>
                <w:sz w:val="20"/>
                <w:szCs w:val="20"/>
                <w:lang w:val="fr-CA"/>
              </w:rPr>
              <w:t>quant</w:t>
            </w:r>
          </w:p>
        </w:tc>
      </w:tr>
      <w:tr w:rsidR="00CA6183" w:rsidRPr="000F272E" w14:paraId="28C6B8B1" w14:textId="77777777" w:rsidTr="0026398C">
        <w:trPr>
          <w:jc w:val="center"/>
        </w:trPr>
        <w:tc>
          <w:tcPr>
            <w:tcW w:w="585" w:type="dxa"/>
            <w:shd w:val="clear" w:color="auto" w:fill="81CB7B"/>
          </w:tcPr>
          <w:p w14:paraId="7EDE8229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923" w:type="dxa"/>
            <w:gridSpan w:val="2"/>
            <w:shd w:val="clear" w:color="auto" w:fill="81CB7B"/>
          </w:tcPr>
          <w:p w14:paraId="39345C53" w14:textId="5800F4E6" w:rsidR="00CA6183" w:rsidRPr="000F272E" w:rsidRDefault="000F272E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additionnels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CA6183" w:rsidRPr="008A2681" w14:paraId="5B265E59" w14:textId="77777777" w:rsidTr="0026398C">
        <w:trPr>
          <w:jc w:val="center"/>
        </w:trPr>
        <w:tc>
          <w:tcPr>
            <w:tcW w:w="585" w:type="dxa"/>
            <w:shd w:val="clear" w:color="auto" w:fill="BDE4BA"/>
          </w:tcPr>
          <w:p w14:paraId="6AA81E4A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468" w:type="dxa"/>
            <w:shd w:val="clear" w:color="auto" w:fill="BDE4BA"/>
          </w:tcPr>
          <w:p w14:paraId="4E9EDB5E" w14:textId="77777777" w:rsidR="00CA6183" w:rsidRPr="000F272E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0F272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455" w:type="dxa"/>
            <w:shd w:val="clear" w:color="auto" w:fill="BDE4BA"/>
          </w:tcPr>
          <w:p w14:paraId="3F5280DC" w14:textId="1D7BA600" w:rsidR="00CA6183" w:rsidRPr="000F272E" w:rsidRDefault="000F272E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5084EEBC" w14:textId="77777777" w:rsidR="00D46568" w:rsidRPr="000F272E" w:rsidRDefault="00D46568" w:rsidP="00D46568">
      <w:pPr>
        <w:ind w:left="-567" w:right="-336"/>
        <w:jc w:val="left"/>
        <w:rPr>
          <w:rFonts w:cs="Arial"/>
          <w:sz w:val="20"/>
          <w:szCs w:val="20"/>
          <w:lang w:val="fr-CA"/>
        </w:rPr>
      </w:pPr>
    </w:p>
    <w:sectPr w:rsidR="00D46568" w:rsidRPr="000F272E" w:rsidSect="006000F6"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9501" w14:textId="77777777" w:rsidR="00991ECD" w:rsidRDefault="00991ECD" w:rsidP="000B2CE5">
      <w:pPr>
        <w:spacing w:after="0" w:line="240" w:lineRule="auto"/>
      </w:pPr>
      <w:r>
        <w:separator/>
      </w:r>
    </w:p>
  </w:endnote>
  <w:endnote w:type="continuationSeparator" w:id="0">
    <w:p w14:paraId="1646CE71" w14:textId="77777777" w:rsidR="00991ECD" w:rsidRDefault="00991ECD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6467" w14:textId="77777777" w:rsidR="00991ECD" w:rsidRDefault="00991ECD" w:rsidP="000B2CE5">
      <w:pPr>
        <w:spacing w:after="0" w:line="240" w:lineRule="auto"/>
      </w:pPr>
      <w:r>
        <w:separator/>
      </w:r>
    </w:p>
  </w:footnote>
  <w:footnote w:type="continuationSeparator" w:id="0">
    <w:p w14:paraId="33AC6FE8" w14:textId="77777777" w:rsidR="00991ECD" w:rsidRDefault="00991ECD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03867"/>
    <w:rsid w:val="0002694C"/>
    <w:rsid w:val="00030962"/>
    <w:rsid w:val="000637E8"/>
    <w:rsid w:val="00080CA3"/>
    <w:rsid w:val="000B2CE5"/>
    <w:rsid w:val="000B38D2"/>
    <w:rsid w:val="000D7D30"/>
    <w:rsid w:val="000E6ABB"/>
    <w:rsid w:val="000E7F7D"/>
    <w:rsid w:val="000F0A0F"/>
    <w:rsid w:val="000F272E"/>
    <w:rsid w:val="000F6656"/>
    <w:rsid w:val="00104CC9"/>
    <w:rsid w:val="00123786"/>
    <w:rsid w:val="00130C92"/>
    <w:rsid w:val="00142145"/>
    <w:rsid w:val="002130FA"/>
    <w:rsid w:val="00223B30"/>
    <w:rsid w:val="00226AD6"/>
    <w:rsid w:val="00230A54"/>
    <w:rsid w:val="00257F1C"/>
    <w:rsid w:val="0026398C"/>
    <w:rsid w:val="002A224A"/>
    <w:rsid w:val="002B5D9B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02E7F"/>
    <w:rsid w:val="00555810"/>
    <w:rsid w:val="00575819"/>
    <w:rsid w:val="00591682"/>
    <w:rsid w:val="005C20B4"/>
    <w:rsid w:val="006000F6"/>
    <w:rsid w:val="0061062E"/>
    <w:rsid w:val="0064336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2681"/>
    <w:rsid w:val="008A5788"/>
    <w:rsid w:val="008F5701"/>
    <w:rsid w:val="00914E76"/>
    <w:rsid w:val="00920FE4"/>
    <w:rsid w:val="00935D6B"/>
    <w:rsid w:val="00991ECD"/>
    <w:rsid w:val="009D0127"/>
    <w:rsid w:val="00A3447D"/>
    <w:rsid w:val="00A36770"/>
    <w:rsid w:val="00A42CAA"/>
    <w:rsid w:val="00A92A86"/>
    <w:rsid w:val="00A941B5"/>
    <w:rsid w:val="00AA1129"/>
    <w:rsid w:val="00AA4DFC"/>
    <w:rsid w:val="00AA608A"/>
    <w:rsid w:val="00B03AFB"/>
    <w:rsid w:val="00B235D7"/>
    <w:rsid w:val="00B23995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48B0"/>
    <w:rsid w:val="00C9787D"/>
    <w:rsid w:val="00CA6183"/>
    <w:rsid w:val="00CE68BE"/>
    <w:rsid w:val="00D36A3A"/>
    <w:rsid w:val="00D46568"/>
    <w:rsid w:val="00D675A7"/>
    <w:rsid w:val="00D833E7"/>
    <w:rsid w:val="00D85AC9"/>
    <w:rsid w:val="00E064BE"/>
    <w:rsid w:val="00E32460"/>
    <w:rsid w:val="00E56AF9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70DD-76F5-4E5E-9B52-5EBA246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9</cp:revision>
  <dcterms:created xsi:type="dcterms:W3CDTF">2019-05-16T11:33:00Z</dcterms:created>
  <dcterms:modified xsi:type="dcterms:W3CDTF">2019-06-12T15:39:00Z</dcterms:modified>
</cp:coreProperties>
</file>