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54AFB13C">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2A65C2A8"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93F2A5E"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CD14FB">
        <w:rPr>
          <w:rFonts w:ascii="Arial" w:hAnsi="Arial" w:cs="Arial"/>
          <w:sz w:val="20"/>
          <w:highlight w:val="cyan"/>
        </w:rPr>
        <w:t xml:space="preserve">seven </w:t>
      </w:r>
      <w:r w:rsidR="005019E6">
        <w:rPr>
          <w:rFonts w:ascii="Arial" w:hAnsi="Arial" w:cs="Arial"/>
          <w:sz w:val="20"/>
          <w:highlight w:val="cyan"/>
        </w:rPr>
        <w:t>(</w:t>
      </w:r>
      <w:r w:rsidR="00CD14FB">
        <w:rPr>
          <w:rFonts w:ascii="Arial" w:hAnsi="Arial" w:cs="Arial"/>
          <w:sz w:val="20"/>
          <w:highlight w:val="cyan"/>
        </w:rPr>
        <w:t>7</w:t>
      </w:r>
      <w:r w:rsidR="005019E6">
        <w:rPr>
          <w:rFonts w:ascii="Arial" w:hAnsi="Arial" w:cs="Arial"/>
          <w:sz w:val="20"/>
          <w:highlight w:val="cyan"/>
        </w:rPr>
        <w:t>)</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Results 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68C866F3"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40209262"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or after</w:t>
      </w:r>
      <w:r w:rsidR="00A066FC">
        <w:rPr>
          <w:rFonts w:ascii="Arial" w:hAnsi="Arial" w:cs="Arial"/>
          <w:sz w:val="20"/>
          <w:highlight w:val="yellow"/>
        </w:rPr>
        <w:t xml:space="preserve"> the relevant </w:t>
      </w:r>
      <w:r w:rsidR="00A066FC">
        <w:rPr>
          <w:rFonts w:ascii="Arial" w:hAnsi="Arial" w:cs="Arial"/>
          <w:i/>
          <w:iCs/>
          <w:sz w:val="20"/>
          <w:highlight w:val="yellow"/>
        </w:rPr>
        <w:t xml:space="preserve">Anti-Doping Organization </w:t>
      </w:r>
      <w:r w:rsidRPr="00DA4BD3">
        <w:rPr>
          <w:rFonts w:ascii="Arial" w:hAnsi="Arial" w:cs="Arial"/>
          <w:sz w:val="20"/>
          <w:highlight w:val="yellow"/>
        </w:rPr>
        <w:t xml:space="preserve">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0E27D0F2" w:rsidR="00FA0DB2" w:rsidRPr="00DA4BD3" w:rsidRDefault="00CE3249" w:rsidP="00CE3249">
      <w:pPr>
        <w:ind w:left="1418" w:hanging="720"/>
        <w:jc w:val="both"/>
        <w:rPr>
          <w:rFonts w:ascii="Arial" w:hAnsi="Arial" w:cs="Arial"/>
          <w:sz w:val="20"/>
          <w:lang w:eastAsia="en-GB"/>
        </w:rPr>
      </w:pPr>
      <w:r>
        <w:rPr>
          <w:rFonts w:ascii="Arial" w:hAnsi="Arial" w:cs="Arial"/>
          <w:b/>
          <w:bCs/>
          <w:sz w:val="20"/>
          <w:lang w:eastAsia="en-GB"/>
        </w:rPr>
        <w:t>22.4</w:t>
      </w:r>
      <w:r>
        <w:rPr>
          <w:rFonts w:ascii="Arial" w:hAnsi="Arial" w:cs="Arial"/>
          <w:b/>
          <w:bCs/>
          <w:sz w:val="20"/>
          <w:lang w:eastAsia="en-GB"/>
        </w:rPr>
        <w:tab/>
      </w:r>
      <w:r w:rsidR="00FA0DB2" w:rsidRPr="00DA4BD3">
        <w:rPr>
          <w:rFonts w:ascii="Arial" w:hAnsi="Arial" w:cs="Arial"/>
          <w:sz w:val="20"/>
          <w:lang w:eastAsia="en-GB"/>
        </w:rPr>
        <w:t xml:space="preserve">Failure by any </w:t>
      </w:r>
      <w:r w:rsidR="00FA0DB2" w:rsidRPr="00DA4BD3">
        <w:rPr>
          <w:rFonts w:ascii="Arial" w:hAnsi="Arial" w:cs="Arial"/>
          <w:iCs/>
          <w:sz w:val="20"/>
          <w:lang w:eastAsia="en-GB"/>
        </w:rPr>
        <w:t xml:space="preserve">other </w:t>
      </w:r>
      <w:r w:rsidR="00FA0DB2" w:rsidRPr="00DA4BD3">
        <w:rPr>
          <w:rFonts w:ascii="Arial" w:hAnsi="Arial" w:cs="Arial"/>
          <w:i/>
          <w:sz w:val="20"/>
          <w:lang w:eastAsia="en-GB"/>
        </w:rPr>
        <w:t>Person</w:t>
      </w:r>
      <w:r w:rsidR="00FA0DB2" w:rsidRPr="00DA4BD3">
        <w:rPr>
          <w:rFonts w:ascii="Arial" w:hAnsi="Arial" w:cs="Arial"/>
          <w:iCs/>
          <w:sz w:val="20"/>
          <w:lang w:eastAsia="en-GB"/>
        </w:rPr>
        <w:t xml:space="preserve"> subject to these Anti-Doping Rules</w:t>
      </w:r>
      <w:r w:rsidR="00FA0DB2" w:rsidRPr="00DA4BD3">
        <w:rPr>
          <w:rFonts w:ascii="Arial" w:hAnsi="Arial" w:cs="Arial"/>
          <w:i/>
          <w:sz w:val="20"/>
          <w:lang w:eastAsia="en-GB"/>
        </w:rPr>
        <w:t xml:space="preserve"> </w:t>
      </w:r>
      <w:r w:rsidR="00FA0DB2" w:rsidRPr="00DA4BD3">
        <w:rPr>
          <w:rFonts w:ascii="Arial" w:hAnsi="Arial" w:cs="Arial"/>
          <w:sz w:val="20"/>
          <w:lang w:eastAsia="en-GB"/>
        </w:rPr>
        <w:t xml:space="preserve">to cooperate in full with </w:t>
      </w:r>
      <w:r w:rsidR="00FA0DB2" w:rsidRPr="00DA4BD3">
        <w:rPr>
          <w:rFonts w:ascii="Arial" w:hAnsi="Arial" w:cs="Arial"/>
          <w:i/>
          <w:sz w:val="20"/>
        </w:rPr>
        <w:t>Anti-Doping Organizations</w:t>
      </w:r>
      <w:r w:rsidR="00FA0DB2" w:rsidRPr="00DA4BD3">
        <w:rPr>
          <w:rFonts w:ascii="Arial" w:hAnsi="Arial" w:cs="Arial"/>
          <w:sz w:val="20"/>
        </w:rPr>
        <w:t xml:space="preserve"> investigating anti-doping rule violations </w:t>
      </w:r>
      <w:r w:rsidR="00FA0DB2" w:rsidRPr="00DA4BD3">
        <w:rPr>
          <w:rFonts w:ascii="Arial" w:hAnsi="Arial" w:cs="Arial"/>
          <w:sz w:val="20"/>
          <w:lang w:eastAsia="en-GB"/>
        </w:rPr>
        <w:t xml:space="preserve">may result in a </w:t>
      </w:r>
      <w:r w:rsidR="00FA0DB2" w:rsidRPr="00DA4BD3">
        <w:rPr>
          <w:rFonts w:ascii="Arial" w:hAnsi="Arial" w:cs="Arial"/>
          <w:sz w:val="20"/>
          <w:highlight w:val="cyan"/>
          <w:lang w:eastAsia="en-GB"/>
        </w:rPr>
        <w:t>[charge of misconduct]</w:t>
      </w:r>
      <w:r w:rsidR="00FA0DB2" w:rsidRPr="00DA4BD3">
        <w:rPr>
          <w:rFonts w:ascii="Arial" w:hAnsi="Arial" w:cs="Arial"/>
          <w:sz w:val="20"/>
          <w:lang w:eastAsia="en-GB"/>
        </w:rPr>
        <w:t xml:space="preserve"> under </w:t>
      </w:r>
      <w:r w:rsidR="00FA0DB2" w:rsidRPr="00DA4BD3">
        <w:rPr>
          <w:rFonts w:ascii="Arial" w:hAnsi="Arial" w:cs="Arial"/>
          <w:sz w:val="20"/>
          <w:highlight w:val="lightGray"/>
          <w:lang w:eastAsia="en-GB"/>
        </w:rPr>
        <w:t>[IF]</w:t>
      </w:r>
      <w:r w:rsidR="00FA0DB2" w:rsidRPr="00DA4BD3">
        <w:rPr>
          <w:rFonts w:ascii="Arial" w:hAnsi="Arial" w:cs="Arial"/>
          <w:sz w:val="20"/>
          <w:lang w:eastAsia="en-GB"/>
        </w:rPr>
        <w:t xml:space="preserve">'s </w:t>
      </w:r>
      <w:r w:rsidR="00FA0DB2"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7580F50B"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22.</w:t>
      </w:r>
      <w:r w:rsidR="00CE3249">
        <w:rPr>
          <w:rFonts w:ascii="Arial" w:hAnsi="Arial" w:cs="Arial"/>
          <w:b/>
          <w:sz w:val="20"/>
          <w:lang w:eastAsia="en-GB"/>
        </w:rPr>
        <w:t>5</w:t>
      </w:r>
      <w:r w:rsidRPr="00DA4BD3">
        <w:rPr>
          <w:rFonts w:ascii="Arial" w:hAnsi="Arial" w:cs="Arial"/>
          <w:b/>
          <w:sz w:val="20"/>
          <w:lang w:eastAsia="en-GB"/>
        </w:rPr>
        <w:t xml:space="preserve">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Therapeutic 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19AF" w14:textId="77777777" w:rsidR="004776DA" w:rsidRDefault="004776DA">
      <w:r>
        <w:separator/>
      </w:r>
    </w:p>
  </w:endnote>
  <w:endnote w:type="continuationSeparator" w:id="0">
    <w:p w14:paraId="04EA81CE" w14:textId="77777777" w:rsidR="004776DA" w:rsidRDefault="004776DA">
      <w:r>
        <w:continuationSeparator/>
      </w:r>
    </w:p>
  </w:endnote>
  <w:endnote w:type="continuationNotice" w:id="1">
    <w:p w14:paraId="2BC1BB15" w14:textId="77777777" w:rsidR="004776DA" w:rsidRDefault="0047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401C" w14:textId="77777777" w:rsidR="004776DA" w:rsidRDefault="004776DA">
      <w:r>
        <w:separator/>
      </w:r>
    </w:p>
  </w:footnote>
  <w:footnote w:type="continuationSeparator" w:id="0">
    <w:p w14:paraId="5C3036BF" w14:textId="77777777" w:rsidR="004776DA" w:rsidRDefault="004776DA">
      <w:r>
        <w:continuationSeparator/>
      </w:r>
    </w:p>
  </w:footnote>
  <w:footnote w:type="continuationNotice" w:id="1">
    <w:p w14:paraId="6644CD30" w14:textId="77777777" w:rsidR="004776DA" w:rsidRDefault="004776DA"/>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207C54A"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w:t>
      </w:r>
      <w:r w:rsidR="00FC246B">
        <w:rPr>
          <w:rStyle w:val="DeltaViewInsertion"/>
          <w:rFonts w:cs="Arial"/>
          <w:i/>
          <w:iCs/>
          <w:color w:val="auto"/>
          <w:sz w:val="16"/>
          <w:szCs w:val="16"/>
          <w:u w:val="none"/>
        </w:rPr>
        <w:t>2</w:t>
      </w:r>
      <w:r w:rsidRPr="00A003F2">
        <w:rPr>
          <w:rStyle w:val="DeltaViewInsertion"/>
          <w:rFonts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9B6C31D" w:rsidR="00D20487" w:rsidRDefault="00D20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31E7E38A" w:rsidR="0061151C" w:rsidRDefault="0061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BAF6547" w:rsidR="0061151C" w:rsidRDefault="00611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042B6F96" w:rsidR="0061151C" w:rsidRDefault="006115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41984445" w:rsidR="0061151C" w:rsidRDefault="0061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646"/>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390"/>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E17"/>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D33"/>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1F44"/>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C0D"/>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A75"/>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545"/>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5B9"/>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3FA"/>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6D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9EA"/>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D00"/>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A1D"/>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97E"/>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7D6"/>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CB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003"/>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37E10"/>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6FC"/>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B1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0"/>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4FB"/>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49"/>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74E"/>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358"/>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07B"/>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7F9"/>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46B"/>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1E5E"/>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A7F7D-3AC9-486B-AEA5-142C4CBFBFF6}">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488e650-0f35-4d87-86d0-2fa1b6f54fdc"/>
    <ds:schemaRef ds:uri="2bad933d-197d-4b8d-aec4-30a67993a8d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3.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5.xml><?xml version="1.0" encoding="utf-8"?>
<ds:datastoreItem xmlns:ds="http://schemas.openxmlformats.org/officeDocument/2006/customXml" ds:itemID="{67622539-AF74-4336-839A-082A35653287}">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1207</TotalTime>
  <Pages>10</Pages>
  <Words>37981</Words>
  <Characters>212317</Characters>
  <Application>Microsoft Office Word</Application>
  <DocSecurity>0</DocSecurity>
  <Lines>4517</Lines>
  <Paragraphs>1060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249238</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WADA-AMA</cp:lastModifiedBy>
  <cp:revision>421</cp:revision>
  <cp:lastPrinted>2019-12-13T07:17:00Z</cp:lastPrinted>
  <dcterms:created xsi:type="dcterms:W3CDTF">2025-12-19T04:59:00Z</dcterms:created>
  <dcterms:modified xsi:type="dcterms:W3CDTF">2026-05-01T14:47:00Z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2156fd74,52867ca2,2a37de29,298e33dd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