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E1B5" w14:textId="77777777" w:rsidR="00B51CB9" w:rsidRDefault="00B51CB9" w:rsidP="00A47F01">
      <w:pPr>
        <w:spacing w:line="276" w:lineRule="auto"/>
      </w:pPr>
    </w:p>
    <w:p w14:paraId="15165BF5" w14:textId="2191CF9E" w:rsidR="00B51CB9" w:rsidRPr="00B66A8F" w:rsidRDefault="00B51CB9" w:rsidP="00A47F01">
      <w:pPr>
        <w:pStyle w:val="MAINTITLE"/>
        <w:spacing w:line="276" w:lineRule="auto"/>
        <w:rPr>
          <w:sz w:val="26"/>
          <w:szCs w:val="26"/>
        </w:rPr>
      </w:pPr>
      <w:r w:rsidRPr="00B66A8F">
        <w:rPr>
          <w:rFonts w:ascii="Arial Black" w:hAnsi="Arial Black"/>
          <w:color w:val="0071BC"/>
          <w:sz w:val="26"/>
          <w:szCs w:val="26"/>
        </w:rPr>
        <w:t>TEMPLATE:</w:t>
      </w:r>
      <w:r w:rsidRPr="00B66A8F">
        <w:rPr>
          <w:color w:val="51B848"/>
          <w:sz w:val="26"/>
          <w:szCs w:val="26"/>
        </w:rPr>
        <w:t xml:space="preserve"> </w:t>
      </w:r>
      <w:r w:rsidR="00D150D4">
        <w:rPr>
          <w:rFonts w:ascii="Arial Black" w:eastAsiaTheme="minorHAnsi" w:hAnsi="Arial Black" w:cstheme="minorBidi"/>
          <w:b w:val="0"/>
          <w:caps/>
          <w:noProof w:val="0"/>
          <w:color w:val="3F3F3F" w:themeColor="text2"/>
          <w:sz w:val="26"/>
          <w:szCs w:val="26"/>
        </w:rPr>
        <w:t>POLICY</w:t>
      </w:r>
      <w:r w:rsidR="00D150D4" w:rsidRPr="00D150D4">
        <w:t xml:space="preserve"> </w:t>
      </w:r>
      <w:r w:rsidR="00A47F01" w:rsidRPr="00A47F01">
        <w:rPr>
          <w:rFonts w:ascii="Arial Black" w:eastAsiaTheme="minorHAnsi" w:hAnsi="Arial Black" w:cstheme="minorBidi"/>
          <w:b w:val="0"/>
          <w:caps/>
          <w:noProof w:val="0"/>
          <w:color w:val="3F3F3F" w:themeColor="text2"/>
          <w:sz w:val="26"/>
          <w:szCs w:val="26"/>
        </w:rPr>
        <w:t>FOR GATHERING ANTI-DOPING INTELLIGENCE</w:t>
      </w:r>
    </w:p>
    <w:p w14:paraId="50DBCED8" w14:textId="75D26E97" w:rsidR="00B51CB9" w:rsidRDefault="00B51CB9" w:rsidP="00A47F01">
      <w:pPr>
        <w:pStyle w:val="SecondaryTitle"/>
        <w:spacing w:line="276" w:lineRule="auto"/>
        <w:jc w:val="left"/>
        <w:rPr>
          <w:sz w:val="20"/>
          <w:szCs w:val="20"/>
        </w:rPr>
      </w:pPr>
    </w:p>
    <w:p w14:paraId="24E98839" w14:textId="0811E603" w:rsidR="00D150D4" w:rsidRDefault="00D150D4" w:rsidP="00A47F01">
      <w:pPr>
        <w:pStyle w:val="SecondaryTitle"/>
        <w:spacing w:line="276" w:lineRule="auto"/>
        <w:ind w:left="450"/>
        <w:jc w:val="left"/>
        <w:rPr>
          <w:sz w:val="26"/>
          <w:szCs w:val="26"/>
        </w:rPr>
      </w:pPr>
      <w:r w:rsidRPr="00D150D4">
        <w:rPr>
          <w:sz w:val="26"/>
          <w:szCs w:val="26"/>
          <w:highlight w:val="darkGray"/>
        </w:rPr>
        <w:t>[INSERT ADO NAME]</w:t>
      </w:r>
    </w:p>
    <w:p w14:paraId="5CF1F008" w14:textId="3A0F6EAB" w:rsidR="00A47F01" w:rsidRPr="00D150D4" w:rsidRDefault="00A47F01" w:rsidP="00A47F01">
      <w:pPr>
        <w:pStyle w:val="SecondaryTitle"/>
        <w:spacing w:line="276" w:lineRule="auto"/>
        <w:ind w:left="450"/>
        <w:jc w:val="left"/>
        <w:rPr>
          <w:sz w:val="26"/>
          <w:szCs w:val="26"/>
        </w:rPr>
      </w:pPr>
      <w:r w:rsidRPr="00B66A8F">
        <w:rPr>
          <w:i/>
          <w:iCs/>
          <w:noProof/>
          <w:color w:val="767171" w:themeColor="background2" w:themeShade="80"/>
          <w:sz w:val="26"/>
          <w:szCs w:val="26"/>
          <w:lang w:val="es-ES_tradnl" w:eastAsia="es-ES_tradnl"/>
        </w:rPr>
        <mc:AlternateContent>
          <mc:Choice Requires="wps">
            <w:drawing>
              <wp:anchor distT="45720" distB="45720" distL="114300" distR="114300" simplePos="0" relativeHeight="251659264" behindDoc="0" locked="0" layoutInCell="1" allowOverlap="1" wp14:anchorId="7D156637" wp14:editId="1E0DE4C1">
                <wp:simplePos x="0" y="0"/>
                <wp:positionH relativeFrom="margin">
                  <wp:posOffset>307340</wp:posOffset>
                </wp:positionH>
                <wp:positionV relativeFrom="paragraph">
                  <wp:posOffset>351155</wp:posOffset>
                </wp:positionV>
                <wp:extent cx="6362700" cy="15062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506220"/>
                        </a:xfrm>
                        <a:prstGeom prst="rect">
                          <a:avLst/>
                        </a:prstGeom>
                        <a:solidFill>
                          <a:schemeClr val="bg1">
                            <a:lumMod val="95000"/>
                          </a:schemeClr>
                        </a:solidFill>
                        <a:ln w="19050">
                          <a:solidFill>
                            <a:schemeClr val="accent5"/>
                          </a:solidFill>
                          <a:prstDash val="sysDash"/>
                          <a:miter lim="800000"/>
                          <a:headEnd/>
                          <a:tailEnd/>
                        </a:ln>
                      </wps:spPr>
                      <wps:txbx>
                        <w:txbxContent>
                          <w:p w14:paraId="570D16C3" w14:textId="55F9F7FB" w:rsidR="003040CC" w:rsidRPr="003040CC" w:rsidRDefault="00A47F01" w:rsidP="003040CC">
                            <w:pPr>
                              <w:pStyle w:val="BASIC"/>
                              <w:jc w:val="both"/>
                              <w:rPr>
                                <w:i/>
                                <w:iCs/>
                                <w:color w:val="767171" w:themeColor="background2" w:themeShade="80"/>
                              </w:rPr>
                            </w:pPr>
                            <w:r w:rsidRPr="003040CC">
                              <w:rPr>
                                <w:b/>
                                <w:bCs/>
                                <w:i/>
                                <w:iCs/>
                                <w:color w:val="767171" w:themeColor="background2" w:themeShade="80"/>
                              </w:rPr>
                              <w:t>NOTE FOR ADOs:</w:t>
                            </w:r>
                            <w:r>
                              <w:rPr>
                                <w:i/>
                                <w:iCs/>
                                <w:color w:val="767171" w:themeColor="background2" w:themeShade="80"/>
                              </w:rPr>
                              <w:t xml:space="preserve"> </w:t>
                            </w:r>
                            <w:r w:rsidRPr="003040CC">
                              <w:rPr>
                                <w:i/>
                                <w:color w:val="767171" w:themeColor="background2" w:themeShade="80"/>
                              </w:rPr>
                              <w:t>For further guidance, this policy and its related processes could be developed in conjunction with the WADA ‘Information Gathering and Intelligence Sharing’ Guidelines and Checklist ‘How to comply with the International Standard for Testing and Investigations Article 11’.</w:t>
                            </w:r>
                            <w:r w:rsidRPr="003040CC">
                              <w:rPr>
                                <w:i/>
                                <w:iCs/>
                                <w:color w:val="767171" w:themeColor="background2" w:themeShade="80"/>
                              </w:rPr>
                              <w:t xml:space="preserve"> </w:t>
                            </w:r>
                            <w:r w:rsidR="003040CC" w:rsidRPr="003040CC">
                              <w:rPr>
                                <w:i/>
                                <w:iCs/>
                                <w:color w:val="767171" w:themeColor="background2" w:themeShade="80"/>
                              </w:rPr>
                              <w:t xml:space="preserve">It is important to note that, if you receive information, which requires further investigation follow-up beyond your in-house expertise, you must </w:t>
                            </w:r>
                            <w:r w:rsidR="00B126C6">
                              <w:rPr>
                                <w:i/>
                                <w:iCs/>
                                <w:color w:val="767171" w:themeColor="background2" w:themeShade="80"/>
                              </w:rPr>
                              <w:t xml:space="preserve">seek external assistance (e.g., </w:t>
                            </w:r>
                            <w:r w:rsidR="003040CC" w:rsidRPr="003040CC">
                              <w:rPr>
                                <w:i/>
                                <w:iCs/>
                                <w:color w:val="767171" w:themeColor="background2" w:themeShade="80"/>
                              </w:rPr>
                              <w:t>contract an external investigation entity/consultant</w:t>
                            </w:r>
                            <w:r w:rsidR="00B126C6">
                              <w:rPr>
                                <w:i/>
                                <w:iCs/>
                                <w:color w:val="767171" w:themeColor="background2" w:themeShade="80"/>
                              </w:rPr>
                              <w:t>)</w:t>
                            </w:r>
                            <w:r w:rsidR="003040CC" w:rsidRPr="003040CC">
                              <w:rPr>
                                <w:i/>
                                <w:iCs/>
                                <w:color w:val="767171" w:themeColor="background2" w:themeShade="80"/>
                              </w:rPr>
                              <w:t xml:space="preserve"> to perform appropriate investigative follow-up</w:t>
                            </w:r>
                            <w:r w:rsidR="00B126C6">
                              <w:rPr>
                                <w:i/>
                                <w:iCs/>
                                <w:color w:val="767171" w:themeColor="background2" w:themeShade="80"/>
                              </w:rPr>
                              <w:t xml:space="preserve"> (as required by ISTI Article 12). </w:t>
                            </w:r>
                          </w:p>
                          <w:p w14:paraId="2CEF2009" w14:textId="7549332C" w:rsidR="00A47F01" w:rsidRPr="003040CC" w:rsidRDefault="00A47F01" w:rsidP="00A47F01">
                            <w:pPr>
                              <w:pStyle w:val="BASIC"/>
                              <w:jc w:val="both"/>
                              <w:rPr>
                                <w:i/>
                                <w:iCs/>
                                <w:color w:val="767171" w:themeColor="background2" w:themeShade="80"/>
                              </w:rPr>
                            </w:pPr>
                            <w:r w:rsidRPr="003040CC">
                              <w:rPr>
                                <w:i/>
                                <w:iCs/>
                                <w:color w:val="767171" w:themeColor="background2" w:themeShade="80"/>
                              </w:rPr>
                              <w:t xml:space="preserve">Please delete this text box once you have revised this policy.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156637" id="_x0000_t202" coordsize="21600,21600" o:spt="202" path="m,l,21600r21600,l21600,xe">
                <v:stroke joinstyle="miter"/>
                <v:path gradientshapeok="t" o:connecttype="rect"/>
              </v:shapetype>
              <v:shape id="Text Box 2" o:spid="_x0000_s1026" type="#_x0000_t202" style="position:absolute;left:0;text-align:left;margin-left:24.2pt;margin-top:27.65pt;width:501pt;height:1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" fillcolor="#f2f2f2 [3052]" strokecolor="#0071bc [3208]" strokeweight="1.5pt">
                <v:stroke dashstyle="3 1"/>
                <v:textbox>
                  <w:txbxContent>
                    <w:p w14:paraId="570D16C3" w14:textId="55F9F7FB" w:rsidR="003040CC" w:rsidRPr="003040CC" w:rsidRDefault="00A47F01" w:rsidP="003040CC">
                      <w:pPr>
                        <w:pStyle w:val="BASIC"/>
                        <w:jc w:val="both"/>
                        <w:rPr>
                          <w:i/>
                          <w:iCs/>
                          <w:color w:val="767171" w:themeColor="background2" w:themeShade="80"/>
                        </w:rPr>
                      </w:pPr>
                      <w:r w:rsidRPr="003040CC">
                        <w:rPr>
                          <w:b/>
                          <w:bCs/>
                          <w:i/>
                          <w:iCs/>
                          <w:color w:val="767171" w:themeColor="background2" w:themeShade="80"/>
                        </w:rPr>
                        <w:t>NOTE FOR ADOs:</w:t>
                      </w:r>
                      <w:r>
                        <w:rPr>
                          <w:i/>
                          <w:iCs/>
                          <w:color w:val="767171" w:themeColor="background2" w:themeShade="80"/>
                        </w:rPr>
                        <w:t xml:space="preserve"> </w:t>
                      </w:r>
                      <w:r w:rsidRPr="003040CC">
                        <w:rPr>
                          <w:i/>
                          <w:color w:val="767171" w:themeColor="background2" w:themeShade="80"/>
                        </w:rPr>
                        <w:t>For further guidance, this policy and its related processes could be developed in conjunction with the WADA ‘Information Gathering and Intelligence Sharing’ Guidelines and Checklist ‘How to comply with the International Standard for Testing and Investigations Article 11’.</w:t>
                      </w:r>
                      <w:r w:rsidRPr="003040CC">
                        <w:rPr>
                          <w:i/>
                          <w:iCs/>
                          <w:color w:val="767171" w:themeColor="background2" w:themeShade="80"/>
                        </w:rPr>
                        <w:t xml:space="preserve"> </w:t>
                      </w:r>
                      <w:r w:rsidR="003040CC" w:rsidRPr="003040CC">
                        <w:rPr>
                          <w:i/>
                          <w:iCs/>
                          <w:color w:val="767171" w:themeColor="background2" w:themeShade="80"/>
                        </w:rPr>
                        <w:t xml:space="preserve">It is important to note that, if you receive information, which requires further investigation follow-up </w:t>
                      </w:r>
                      <w:r w:rsidR="003040CC" w:rsidRPr="003040CC">
                        <w:rPr>
                          <w:i/>
                          <w:iCs/>
                          <w:color w:val="767171" w:themeColor="background2" w:themeShade="80"/>
                        </w:rPr>
                        <w:t xml:space="preserve">beyond </w:t>
                      </w:r>
                      <w:r w:rsidR="003040CC" w:rsidRPr="003040CC">
                        <w:rPr>
                          <w:i/>
                          <w:iCs/>
                          <w:color w:val="767171" w:themeColor="background2" w:themeShade="80"/>
                        </w:rPr>
                        <w:t xml:space="preserve">your </w:t>
                      </w:r>
                      <w:r w:rsidR="003040CC" w:rsidRPr="003040CC">
                        <w:rPr>
                          <w:i/>
                          <w:iCs/>
                          <w:color w:val="767171" w:themeColor="background2" w:themeShade="80"/>
                        </w:rPr>
                        <w:t xml:space="preserve">in-house </w:t>
                      </w:r>
                      <w:r w:rsidR="003040CC" w:rsidRPr="003040CC">
                        <w:rPr>
                          <w:i/>
                          <w:iCs/>
                          <w:color w:val="767171" w:themeColor="background2" w:themeShade="80"/>
                        </w:rPr>
                        <w:t xml:space="preserve">expertise, you must </w:t>
                      </w:r>
                      <w:r w:rsidR="00B126C6">
                        <w:rPr>
                          <w:i/>
                          <w:iCs/>
                          <w:color w:val="767171" w:themeColor="background2" w:themeShade="80"/>
                        </w:rPr>
                        <w:t xml:space="preserve">seek external assistance (e.g., </w:t>
                      </w:r>
                      <w:r w:rsidR="003040CC" w:rsidRPr="003040CC">
                        <w:rPr>
                          <w:i/>
                          <w:iCs/>
                          <w:color w:val="767171" w:themeColor="background2" w:themeShade="80"/>
                        </w:rPr>
                        <w:t>contract an external investigation entity/consultant</w:t>
                      </w:r>
                      <w:r w:rsidR="00B126C6">
                        <w:rPr>
                          <w:i/>
                          <w:iCs/>
                          <w:color w:val="767171" w:themeColor="background2" w:themeShade="80"/>
                        </w:rPr>
                        <w:t>)</w:t>
                      </w:r>
                      <w:r w:rsidR="003040CC" w:rsidRPr="003040CC">
                        <w:rPr>
                          <w:i/>
                          <w:iCs/>
                          <w:color w:val="767171" w:themeColor="background2" w:themeShade="80"/>
                        </w:rPr>
                        <w:t xml:space="preserve"> to perform appropriate investigative follow-up</w:t>
                      </w:r>
                      <w:r w:rsidR="00B126C6">
                        <w:rPr>
                          <w:i/>
                          <w:iCs/>
                          <w:color w:val="767171" w:themeColor="background2" w:themeShade="80"/>
                        </w:rPr>
                        <w:t xml:space="preserve"> (as required by ISTI Article 12). </w:t>
                      </w:r>
                    </w:p>
                    <w:p w14:paraId="2CEF2009" w14:textId="7549332C" w:rsidR="00A47F01" w:rsidRPr="003040CC" w:rsidRDefault="00A47F01" w:rsidP="00A47F01">
                      <w:pPr>
                        <w:pStyle w:val="BASIC"/>
                        <w:jc w:val="both"/>
                        <w:rPr>
                          <w:i/>
                          <w:iCs/>
                          <w:color w:val="767171" w:themeColor="background2" w:themeShade="80"/>
                        </w:rPr>
                      </w:pPr>
                      <w:r w:rsidRPr="003040CC">
                        <w:rPr>
                          <w:i/>
                          <w:iCs/>
                          <w:color w:val="767171" w:themeColor="background2" w:themeShade="80"/>
                        </w:rPr>
                        <w:t xml:space="preserve">Please delete this text box once you have revised this policy. </w:t>
                      </w:r>
                    </w:p>
                  </w:txbxContent>
                </v:textbox>
                <w10:wrap type="square" anchorx="margin"/>
              </v:shape>
            </w:pict>
          </mc:Fallback>
        </mc:AlternateContent>
      </w:r>
    </w:p>
    <w:p w14:paraId="05A75F33" w14:textId="77777777" w:rsidR="00D150D4" w:rsidRDefault="00D150D4" w:rsidP="00A47F01">
      <w:pPr>
        <w:pStyle w:val="REGULARBULLET"/>
        <w:numPr>
          <w:ilvl w:val="0"/>
          <w:numId w:val="0"/>
        </w:numPr>
        <w:spacing w:line="276" w:lineRule="auto"/>
        <w:ind w:left="720" w:hanging="270"/>
        <w:rPr>
          <w:b/>
          <w:color w:val="0071BC"/>
        </w:rPr>
      </w:pPr>
    </w:p>
    <w:p w14:paraId="3BDBCC62" w14:textId="56D7933A" w:rsidR="00B51CB9" w:rsidRDefault="00D150D4" w:rsidP="00A47F01">
      <w:pPr>
        <w:pStyle w:val="REGULARBULLET"/>
        <w:numPr>
          <w:ilvl w:val="0"/>
          <w:numId w:val="0"/>
        </w:numPr>
        <w:spacing w:line="276" w:lineRule="auto"/>
        <w:ind w:left="720" w:hanging="270"/>
      </w:pPr>
      <w:r>
        <w:rPr>
          <w:b/>
          <w:color w:val="0071BC"/>
        </w:rPr>
        <w:t xml:space="preserve">Introduction and </w:t>
      </w:r>
      <w:r w:rsidR="00A47F01">
        <w:rPr>
          <w:b/>
          <w:color w:val="0071BC"/>
        </w:rPr>
        <w:t>Scope</w:t>
      </w:r>
    </w:p>
    <w:p w14:paraId="1791E5F6" w14:textId="44B665C2" w:rsidR="00D150D4" w:rsidRDefault="00F16566" w:rsidP="00A47F01">
      <w:pPr>
        <w:spacing w:before="120" w:line="276" w:lineRule="auto"/>
        <w:ind w:left="446"/>
        <w:jc w:val="both"/>
        <w:rPr>
          <w:rFonts w:eastAsia="Calibri" w:cs="Arial"/>
          <w:noProof/>
          <w:sz w:val="20"/>
          <w:szCs w:val="20"/>
        </w:rPr>
      </w:pPr>
      <w:r>
        <w:rPr>
          <w:rFonts w:eastAsia="Calibri" w:cs="Arial"/>
          <w:noProof/>
          <w:sz w:val="20"/>
          <w:szCs w:val="20"/>
        </w:rPr>
        <w:t xml:space="preserve">This policy describes </w:t>
      </w:r>
      <w:r w:rsidRPr="00A47F01">
        <w:rPr>
          <w:rFonts w:eastAsia="Calibri" w:cs="Arial"/>
          <w:noProof/>
          <w:sz w:val="20"/>
          <w:szCs w:val="20"/>
          <w:highlight w:val="darkGray"/>
        </w:rPr>
        <w:t>[ADO NAME</w:t>
      </w:r>
      <w:r>
        <w:rPr>
          <w:rFonts w:eastAsia="Calibri" w:cs="Arial"/>
          <w:noProof/>
          <w:sz w:val="20"/>
          <w:szCs w:val="20"/>
        </w:rPr>
        <w:t xml:space="preserve">]’s procedures for gathering and assessing information and intelligence in </w:t>
      </w:r>
      <w:r w:rsidRPr="00A47F01">
        <w:rPr>
          <w:rFonts w:eastAsia="Calibri" w:cs="Arial"/>
          <w:noProof/>
          <w:sz w:val="20"/>
          <w:szCs w:val="20"/>
        </w:rPr>
        <w:t>accordance with Article 11 of the International Standard for Testing and Investigations (ISTI)</w:t>
      </w:r>
      <w:r w:rsidR="00B126C6">
        <w:rPr>
          <w:rFonts w:eastAsia="Calibri" w:cs="Arial"/>
          <w:noProof/>
          <w:sz w:val="20"/>
          <w:szCs w:val="20"/>
        </w:rPr>
        <w:t>.</w:t>
      </w:r>
    </w:p>
    <w:p w14:paraId="259ED4C3" w14:textId="77777777" w:rsidR="00A47F01" w:rsidRDefault="00A47F01" w:rsidP="00A47F01">
      <w:pPr>
        <w:spacing w:before="120" w:line="276" w:lineRule="auto"/>
        <w:ind w:left="446"/>
        <w:jc w:val="both"/>
        <w:rPr>
          <w:rFonts w:eastAsia="Calibri" w:cs="Arial"/>
          <w:sz w:val="20"/>
          <w:szCs w:val="20"/>
        </w:rPr>
      </w:pPr>
    </w:p>
    <w:p w14:paraId="6B853D9F" w14:textId="7F33D688" w:rsidR="00D150D4" w:rsidRDefault="00D150D4" w:rsidP="00A47F01">
      <w:pPr>
        <w:spacing w:line="276" w:lineRule="auto"/>
        <w:ind w:left="450"/>
        <w:jc w:val="both"/>
        <w:rPr>
          <w:rFonts w:eastAsia="Calibri" w:cs="Arial"/>
          <w:b/>
          <w:noProof/>
          <w:color w:val="0071BC"/>
          <w:sz w:val="24"/>
          <w:szCs w:val="24"/>
        </w:rPr>
      </w:pPr>
      <w:r w:rsidRPr="00D150D4">
        <w:rPr>
          <w:rFonts w:eastAsia="Calibri" w:cs="Arial"/>
          <w:b/>
          <w:noProof/>
          <w:color w:val="0071BC"/>
          <w:sz w:val="24"/>
          <w:szCs w:val="24"/>
        </w:rPr>
        <w:t>R</w:t>
      </w:r>
      <w:r w:rsidR="00A47F01">
        <w:rPr>
          <w:rFonts w:eastAsia="Calibri" w:cs="Arial"/>
          <w:b/>
          <w:noProof/>
          <w:color w:val="0071BC"/>
          <w:sz w:val="24"/>
          <w:szCs w:val="24"/>
        </w:rPr>
        <w:t>esponsibilities</w:t>
      </w:r>
    </w:p>
    <w:p w14:paraId="02BA296E" w14:textId="6F5D3728" w:rsidR="00A47F01" w:rsidRDefault="00A47F01" w:rsidP="00A47F01">
      <w:pPr>
        <w:spacing w:before="120" w:line="276" w:lineRule="auto"/>
        <w:ind w:left="446"/>
        <w:jc w:val="both"/>
        <w:rPr>
          <w:rFonts w:eastAsia="Calibri" w:cs="Arial"/>
          <w:noProof/>
          <w:sz w:val="20"/>
          <w:szCs w:val="20"/>
        </w:rPr>
      </w:pPr>
      <w:r w:rsidRPr="00A47F01">
        <w:rPr>
          <w:rFonts w:eastAsia="Calibri" w:cs="Arial"/>
          <w:noProof/>
          <w:sz w:val="20"/>
          <w:szCs w:val="20"/>
          <w:highlight w:val="darkGray"/>
        </w:rPr>
        <w:t>[ADO NAME]</w:t>
      </w:r>
      <w:r w:rsidRPr="00A47F01">
        <w:rPr>
          <w:rFonts w:eastAsia="Calibri" w:cs="Arial"/>
          <w:noProof/>
          <w:sz w:val="20"/>
          <w:szCs w:val="20"/>
        </w:rPr>
        <w:t xml:space="preserve">’s </w:t>
      </w:r>
      <w:r w:rsidRPr="00A47F01">
        <w:rPr>
          <w:rFonts w:eastAsia="Calibri" w:cs="Arial"/>
          <w:noProof/>
          <w:sz w:val="20"/>
          <w:szCs w:val="20"/>
          <w:highlight w:val="darkGray"/>
        </w:rPr>
        <w:t>[POSITION TITLE AND/OR NAME]</w:t>
      </w:r>
      <w:r w:rsidRPr="00A47F01">
        <w:rPr>
          <w:rFonts w:eastAsia="Calibri" w:cs="Arial"/>
          <w:noProof/>
          <w:sz w:val="20"/>
          <w:szCs w:val="20"/>
        </w:rPr>
        <w:t xml:space="preserve"> is responsible for the implementation and follow-up of this policy and subsequent procedures.</w:t>
      </w:r>
    </w:p>
    <w:p w14:paraId="6619EF51" w14:textId="0BFEE4F3" w:rsidR="00A47F01" w:rsidRDefault="00A47F01" w:rsidP="00A47F01">
      <w:pPr>
        <w:spacing w:before="120" w:line="276" w:lineRule="auto"/>
        <w:ind w:left="446"/>
        <w:jc w:val="both"/>
        <w:rPr>
          <w:rFonts w:eastAsia="Calibri" w:cs="Arial"/>
          <w:sz w:val="24"/>
          <w:szCs w:val="24"/>
        </w:rPr>
      </w:pPr>
    </w:p>
    <w:p w14:paraId="4CA1EEAE" w14:textId="366022EE" w:rsidR="00A47F01" w:rsidRDefault="00A47F01" w:rsidP="00A47F01">
      <w:pPr>
        <w:spacing w:before="120" w:line="276" w:lineRule="auto"/>
        <w:ind w:left="446"/>
        <w:jc w:val="both"/>
        <w:rPr>
          <w:rFonts w:eastAsia="Calibri" w:cs="Arial"/>
          <w:b/>
          <w:noProof/>
          <w:color w:val="0071BC"/>
          <w:sz w:val="24"/>
          <w:szCs w:val="24"/>
        </w:rPr>
      </w:pPr>
      <w:r w:rsidRPr="00A47F01">
        <w:rPr>
          <w:rFonts w:eastAsia="Calibri" w:cs="Arial"/>
          <w:b/>
          <w:noProof/>
          <w:color w:val="0071BC"/>
          <w:sz w:val="24"/>
          <w:szCs w:val="24"/>
          <w:highlight w:val="darkGray"/>
        </w:rPr>
        <w:t>[ADO NAME]</w:t>
      </w:r>
      <w:r w:rsidRPr="00A47F01">
        <w:rPr>
          <w:rFonts w:eastAsia="Calibri" w:cs="Arial"/>
          <w:b/>
          <w:noProof/>
          <w:color w:val="0071BC"/>
          <w:sz w:val="24"/>
          <w:szCs w:val="24"/>
        </w:rPr>
        <w:t>’s policy for handling anti-doping intelligence</w:t>
      </w:r>
    </w:p>
    <w:p w14:paraId="426A3750" w14:textId="77777777" w:rsidR="00A47F01" w:rsidRDefault="00A47F01" w:rsidP="00A47F01">
      <w:pPr>
        <w:pStyle w:val="NoSpacing"/>
        <w:spacing w:line="276" w:lineRule="auto"/>
        <w:ind w:left="720"/>
        <w:jc w:val="both"/>
        <w:rPr>
          <w:b/>
          <w:szCs w:val="20"/>
        </w:rPr>
      </w:pPr>
    </w:p>
    <w:p w14:paraId="29EB228B" w14:textId="4B48C995" w:rsidR="00A47F01" w:rsidRPr="00A47F01" w:rsidRDefault="00A47F01" w:rsidP="00A47F01">
      <w:pPr>
        <w:pStyle w:val="NoSpacing"/>
        <w:numPr>
          <w:ilvl w:val="0"/>
          <w:numId w:val="17"/>
        </w:numPr>
        <w:spacing w:line="276" w:lineRule="auto"/>
        <w:jc w:val="both"/>
        <w:rPr>
          <w:rFonts w:ascii="Arial Black" w:hAnsi="Arial Black"/>
          <w:b/>
          <w:szCs w:val="20"/>
        </w:rPr>
      </w:pPr>
      <w:r w:rsidRPr="00A47F01">
        <w:rPr>
          <w:rFonts w:ascii="Arial Black" w:hAnsi="Arial Black"/>
          <w:b/>
          <w:szCs w:val="20"/>
        </w:rPr>
        <w:t>Security and Confidentiality</w:t>
      </w:r>
    </w:p>
    <w:p w14:paraId="3C98E964" w14:textId="77777777" w:rsidR="00A47F01" w:rsidRPr="00A47F01" w:rsidRDefault="00A47F01" w:rsidP="00A47F01">
      <w:pPr>
        <w:pStyle w:val="NoSpacing"/>
        <w:spacing w:line="276" w:lineRule="auto"/>
        <w:ind w:left="720"/>
        <w:jc w:val="both"/>
        <w:rPr>
          <w:szCs w:val="20"/>
          <w:highlight w:val="yellow"/>
        </w:rPr>
      </w:pPr>
    </w:p>
    <w:p w14:paraId="513E7253" w14:textId="20126680" w:rsidR="00A47F01" w:rsidRPr="00A47F01" w:rsidRDefault="00A47F01" w:rsidP="00A47F01">
      <w:pPr>
        <w:pStyle w:val="NoSpacing"/>
        <w:spacing w:line="276" w:lineRule="auto"/>
        <w:ind w:left="720"/>
        <w:jc w:val="both"/>
        <w:rPr>
          <w:szCs w:val="20"/>
        </w:rPr>
      </w:pPr>
      <w:r w:rsidRPr="00A47F01">
        <w:rPr>
          <w:szCs w:val="20"/>
          <w:highlight w:val="darkGray"/>
        </w:rPr>
        <w:t>[ADO NAME]</w:t>
      </w:r>
      <w:r w:rsidRPr="00A47F01">
        <w:rPr>
          <w:szCs w:val="20"/>
        </w:rPr>
        <w:t xml:space="preserve">’s </w:t>
      </w:r>
      <w:r w:rsidRPr="00A47F01">
        <w:rPr>
          <w:szCs w:val="20"/>
          <w:highlight w:val="darkGray"/>
        </w:rPr>
        <w:t>[POSITION TITLE AND/OR NAME]</w:t>
      </w:r>
      <w:r w:rsidRPr="00A47F01">
        <w:rPr>
          <w:szCs w:val="20"/>
        </w:rPr>
        <w:t xml:space="preserve"> is bound by a confidentiality agreement in relation to his/her responsibilities under this </w:t>
      </w:r>
      <w:proofErr w:type="gramStart"/>
      <w:r w:rsidRPr="00A47F01">
        <w:rPr>
          <w:szCs w:val="20"/>
        </w:rPr>
        <w:t>policy, and</w:t>
      </w:r>
      <w:proofErr w:type="gramEnd"/>
      <w:r w:rsidRPr="00A47F01">
        <w:rPr>
          <w:szCs w:val="20"/>
        </w:rPr>
        <w:t xml:space="preserve"> ensures that all intelligence received is kept confidential. Any disclosure to other </w:t>
      </w:r>
      <w:r w:rsidRPr="00A47F01">
        <w:rPr>
          <w:szCs w:val="20"/>
          <w:highlight w:val="darkGray"/>
        </w:rPr>
        <w:t>[ADO NAME]</w:t>
      </w:r>
      <w:r w:rsidRPr="00A47F01">
        <w:rPr>
          <w:szCs w:val="20"/>
        </w:rPr>
        <w:t xml:space="preserve">’s staff and officers shall be on a strict need-to-know basis only and any person who receives such information shall maintain its strict confidentiality. </w:t>
      </w:r>
    </w:p>
    <w:p w14:paraId="63B4C18D" w14:textId="77777777" w:rsidR="00A47F01" w:rsidRPr="00A47F01" w:rsidRDefault="00A47F01" w:rsidP="00A47F01">
      <w:pPr>
        <w:pStyle w:val="NoSpacing"/>
        <w:spacing w:line="276" w:lineRule="auto"/>
        <w:ind w:left="720"/>
        <w:jc w:val="both"/>
        <w:rPr>
          <w:szCs w:val="20"/>
        </w:rPr>
      </w:pPr>
    </w:p>
    <w:p w14:paraId="2872318A" w14:textId="77777777" w:rsidR="00A47F01" w:rsidRPr="00A47F01" w:rsidRDefault="00A47F01" w:rsidP="00A47F01">
      <w:pPr>
        <w:pStyle w:val="NoSpacing"/>
        <w:numPr>
          <w:ilvl w:val="0"/>
          <w:numId w:val="17"/>
        </w:numPr>
        <w:spacing w:line="276" w:lineRule="auto"/>
        <w:jc w:val="both"/>
        <w:rPr>
          <w:rFonts w:ascii="Arial Black" w:hAnsi="Arial Black"/>
          <w:b/>
          <w:szCs w:val="20"/>
        </w:rPr>
      </w:pPr>
      <w:r w:rsidRPr="00A47F01">
        <w:rPr>
          <w:rFonts w:ascii="Arial Black" w:hAnsi="Arial Black"/>
          <w:b/>
          <w:szCs w:val="20"/>
        </w:rPr>
        <w:t>Storage of information</w:t>
      </w:r>
    </w:p>
    <w:p w14:paraId="3FE34384" w14:textId="77777777" w:rsidR="00A47F01" w:rsidRPr="00A47F01" w:rsidRDefault="00A47F01" w:rsidP="00A47F01">
      <w:pPr>
        <w:pStyle w:val="NoSpacing"/>
        <w:spacing w:line="276" w:lineRule="auto"/>
        <w:ind w:left="720"/>
        <w:jc w:val="both"/>
        <w:rPr>
          <w:szCs w:val="20"/>
        </w:rPr>
      </w:pPr>
    </w:p>
    <w:p w14:paraId="0CA1E444" w14:textId="6140932F" w:rsidR="00A47F01" w:rsidRPr="00A47F01" w:rsidRDefault="00A47F01" w:rsidP="00A47F01">
      <w:pPr>
        <w:pStyle w:val="NoSpacing"/>
        <w:spacing w:line="276" w:lineRule="auto"/>
        <w:ind w:left="720"/>
        <w:jc w:val="both"/>
        <w:rPr>
          <w:szCs w:val="20"/>
        </w:rPr>
      </w:pPr>
      <w:r w:rsidRPr="00A47F01">
        <w:rPr>
          <w:szCs w:val="20"/>
          <w:highlight w:val="darkGray"/>
        </w:rPr>
        <w:lastRenderedPageBreak/>
        <w:t>[ADO NAME]</w:t>
      </w:r>
      <w:r w:rsidRPr="00A47F01">
        <w:rPr>
          <w:szCs w:val="20"/>
        </w:rPr>
        <w:t xml:space="preserve">’s </w:t>
      </w:r>
      <w:r w:rsidRPr="00A47F01">
        <w:rPr>
          <w:szCs w:val="20"/>
          <w:highlight w:val="darkGray"/>
        </w:rPr>
        <w:t>[POSITION TITLE AND/OR NAME]</w:t>
      </w:r>
      <w:r w:rsidRPr="00A47F01">
        <w:rPr>
          <w:szCs w:val="20"/>
        </w:rPr>
        <w:t xml:space="preserve"> shall ensure that the collected information and </w:t>
      </w:r>
      <w:r w:rsidRPr="00A47F01">
        <w:rPr>
          <w:szCs w:val="20"/>
          <w:highlight w:val="darkGray"/>
        </w:rPr>
        <w:t>[ADO NAME]</w:t>
      </w:r>
      <w:r w:rsidRPr="00A47F01">
        <w:rPr>
          <w:szCs w:val="20"/>
        </w:rPr>
        <w:t xml:space="preserve">’s operational data are handled securely and separately from any other </w:t>
      </w:r>
      <w:r w:rsidRPr="00A47F01">
        <w:rPr>
          <w:szCs w:val="20"/>
          <w:highlight w:val="darkGray"/>
        </w:rPr>
        <w:t>[ADO NAME]</w:t>
      </w:r>
      <w:r w:rsidRPr="00A47F01">
        <w:rPr>
          <w:szCs w:val="20"/>
        </w:rPr>
        <w:t>’s department or databases, through the following appropriate means:</w:t>
      </w:r>
    </w:p>
    <w:p w14:paraId="39BEB8DB" w14:textId="77777777" w:rsidR="00A47F01" w:rsidRPr="00A47F01" w:rsidRDefault="00A47F01" w:rsidP="00A47F01">
      <w:pPr>
        <w:pStyle w:val="NoSpacing"/>
        <w:spacing w:line="276" w:lineRule="auto"/>
        <w:ind w:left="720"/>
        <w:jc w:val="both"/>
        <w:rPr>
          <w:i/>
          <w:szCs w:val="20"/>
          <w:highlight w:val="cyan"/>
        </w:rPr>
      </w:pPr>
    </w:p>
    <w:p w14:paraId="64C66D38" w14:textId="77777777" w:rsidR="00A47F01" w:rsidRPr="00A47F01" w:rsidRDefault="00A47F01" w:rsidP="00A47F01">
      <w:pPr>
        <w:pStyle w:val="NoSpacing"/>
        <w:spacing w:line="276" w:lineRule="auto"/>
        <w:ind w:left="720"/>
        <w:jc w:val="both"/>
        <w:rPr>
          <w:i/>
          <w:szCs w:val="20"/>
        </w:rPr>
      </w:pPr>
      <w:r w:rsidRPr="00A47F01">
        <w:rPr>
          <w:i/>
          <w:szCs w:val="20"/>
          <w:highlight w:val="darkGray"/>
        </w:rPr>
        <w:t xml:space="preserve">[Describe below organizational, </w:t>
      </w:r>
      <w:proofErr w:type="gramStart"/>
      <w:r w:rsidRPr="00A47F01">
        <w:rPr>
          <w:i/>
          <w:szCs w:val="20"/>
          <w:highlight w:val="darkGray"/>
        </w:rPr>
        <w:t>technical</w:t>
      </w:r>
      <w:proofErr w:type="gramEnd"/>
      <w:r w:rsidRPr="00A47F01">
        <w:rPr>
          <w:i/>
          <w:szCs w:val="20"/>
          <w:highlight w:val="darkGray"/>
        </w:rPr>
        <w:t xml:space="preserve"> and physical means as appropriate, for example:]</w:t>
      </w:r>
    </w:p>
    <w:p w14:paraId="2B58D802" w14:textId="77777777" w:rsidR="00A47F01" w:rsidRPr="00A47F01" w:rsidRDefault="00A47F01" w:rsidP="00A47F01">
      <w:pPr>
        <w:pStyle w:val="NoSpacing"/>
        <w:spacing w:line="276" w:lineRule="auto"/>
        <w:ind w:left="720"/>
        <w:jc w:val="both"/>
        <w:rPr>
          <w:szCs w:val="20"/>
        </w:rPr>
      </w:pPr>
    </w:p>
    <w:p w14:paraId="0A639654" w14:textId="77777777" w:rsidR="00A47F01" w:rsidRPr="00A47F01" w:rsidRDefault="00A47F01" w:rsidP="00A47F01">
      <w:pPr>
        <w:pStyle w:val="Bullets"/>
        <w:numPr>
          <w:ilvl w:val="0"/>
          <w:numId w:val="12"/>
        </w:numPr>
        <w:spacing w:line="276" w:lineRule="auto"/>
        <w:rPr>
          <w:szCs w:val="20"/>
        </w:rPr>
      </w:pPr>
      <w:r w:rsidRPr="00A47F01">
        <w:rPr>
          <w:szCs w:val="20"/>
        </w:rPr>
        <w:t xml:space="preserve">Encrypted / password protected databases, spreadsheets or forms, links analysis software, specific IT </w:t>
      </w:r>
      <w:proofErr w:type="gramStart"/>
      <w:r w:rsidRPr="00A47F01">
        <w:rPr>
          <w:szCs w:val="20"/>
        </w:rPr>
        <w:t>equipment;</w:t>
      </w:r>
      <w:proofErr w:type="gramEnd"/>
    </w:p>
    <w:p w14:paraId="298AC093" w14:textId="44E0B108" w:rsidR="00A47F01" w:rsidRDefault="00A47F01" w:rsidP="00A47F01">
      <w:pPr>
        <w:pStyle w:val="Bullets"/>
        <w:numPr>
          <w:ilvl w:val="0"/>
          <w:numId w:val="12"/>
        </w:numPr>
        <w:spacing w:line="276" w:lineRule="auto"/>
        <w:rPr>
          <w:szCs w:val="20"/>
        </w:rPr>
      </w:pPr>
      <w:r w:rsidRPr="00A47F01">
        <w:rPr>
          <w:szCs w:val="20"/>
        </w:rPr>
        <w:t xml:space="preserve">Locked storage room or cabinet, safe box. Specifically, all physical evidence (e.g. documents, photos, products, discarded medical equipment, etc.) will be identified, </w:t>
      </w:r>
      <w:proofErr w:type="gramStart"/>
      <w:r w:rsidRPr="00A47F01">
        <w:rPr>
          <w:szCs w:val="20"/>
        </w:rPr>
        <w:t>assessed</w:t>
      </w:r>
      <w:proofErr w:type="gramEnd"/>
      <w:r w:rsidRPr="00A47F01">
        <w:rPr>
          <w:szCs w:val="20"/>
        </w:rPr>
        <w:t xml:space="preserve"> and recorded.</w:t>
      </w:r>
    </w:p>
    <w:p w14:paraId="4B0A99C0" w14:textId="62BC79F8" w:rsidR="00A47F01" w:rsidRPr="00A47F01" w:rsidRDefault="00A47F01" w:rsidP="00A47F01">
      <w:pPr>
        <w:pStyle w:val="NoSpacing"/>
        <w:numPr>
          <w:ilvl w:val="0"/>
          <w:numId w:val="17"/>
        </w:numPr>
        <w:spacing w:line="276" w:lineRule="auto"/>
        <w:jc w:val="both"/>
        <w:rPr>
          <w:rFonts w:ascii="Arial Black" w:hAnsi="Arial Black"/>
          <w:b/>
          <w:szCs w:val="20"/>
        </w:rPr>
      </w:pPr>
      <w:r w:rsidRPr="00A47F01">
        <w:rPr>
          <w:rFonts w:ascii="Arial Black" w:hAnsi="Arial Black"/>
          <w:b/>
          <w:szCs w:val="20"/>
        </w:rPr>
        <w:t>Protection of the sources of intelligence</w:t>
      </w:r>
    </w:p>
    <w:p w14:paraId="70B92620" w14:textId="77777777" w:rsidR="00A47F01" w:rsidRPr="00A47F01" w:rsidRDefault="00A47F01" w:rsidP="00A47F01">
      <w:pPr>
        <w:pStyle w:val="NoSpacing"/>
        <w:spacing w:line="276" w:lineRule="auto"/>
        <w:ind w:left="0"/>
        <w:jc w:val="both"/>
        <w:rPr>
          <w:szCs w:val="20"/>
        </w:rPr>
      </w:pPr>
    </w:p>
    <w:p w14:paraId="09F88F7E" w14:textId="1A23F47D" w:rsidR="00A47F01" w:rsidRPr="00A47F01" w:rsidRDefault="00A47F01" w:rsidP="00A47F01">
      <w:pPr>
        <w:pStyle w:val="NoSpacing"/>
        <w:spacing w:line="276" w:lineRule="auto"/>
        <w:ind w:left="720"/>
        <w:jc w:val="both"/>
        <w:rPr>
          <w:szCs w:val="20"/>
        </w:rPr>
      </w:pPr>
      <w:r w:rsidRPr="00A47F01">
        <w:rPr>
          <w:szCs w:val="20"/>
        </w:rPr>
        <w:t xml:space="preserve">Within </w:t>
      </w:r>
      <w:r w:rsidRPr="00A47F01">
        <w:rPr>
          <w:b/>
          <w:bCs/>
          <w:szCs w:val="20"/>
          <w:highlight w:val="darkGray"/>
        </w:rPr>
        <w:t>[ADO NAME]</w:t>
      </w:r>
      <w:r w:rsidRPr="00A47F01">
        <w:rPr>
          <w:szCs w:val="20"/>
        </w:rPr>
        <w:t xml:space="preserve">’s scope, </w:t>
      </w:r>
      <w:r w:rsidRPr="00A47F01">
        <w:rPr>
          <w:szCs w:val="20"/>
          <w:highlight w:val="darkGray"/>
        </w:rPr>
        <w:t>[POSITION TITLE AND/OR NAME]</w:t>
      </w:r>
      <w:r w:rsidRPr="00A47F01">
        <w:rPr>
          <w:szCs w:val="20"/>
        </w:rPr>
        <w:t xml:space="preserve"> ensures the protection of the sources of intelligence as deemed appropriate. When proceeding with intelligence sharing or dissemination, no identity shall be disclosed without prior consent of the source.</w:t>
      </w:r>
    </w:p>
    <w:p w14:paraId="1FA57D9D" w14:textId="77777777" w:rsidR="00A47F01" w:rsidRPr="00A47F01" w:rsidRDefault="00A47F01" w:rsidP="00A47F01">
      <w:pPr>
        <w:pStyle w:val="NoSpacing"/>
        <w:spacing w:line="276" w:lineRule="auto"/>
        <w:ind w:left="720"/>
        <w:jc w:val="both"/>
        <w:rPr>
          <w:szCs w:val="20"/>
        </w:rPr>
      </w:pPr>
    </w:p>
    <w:p w14:paraId="2AD0A34A" w14:textId="77777777" w:rsidR="00A47F01" w:rsidRPr="00A47F01" w:rsidRDefault="00A47F01" w:rsidP="00A47F01">
      <w:pPr>
        <w:pStyle w:val="NoSpacing"/>
        <w:spacing w:line="276" w:lineRule="auto"/>
        <w:ind w:left="720"/>
        <w:jc w:val="both"/>
        <w:rPr>
          <w:b/>
          <w:bCs/>
          <w:szCs w:val="20"/>
        </w:rPr>
      </w:pPr>
      <w:r w:rsidRPr="00A47F01">
        <w:rPr>
          <w:b/>
          <w:bCs/>
          <w:i/>
          <w:szCs w:val="20"/>
          <w:highlight w:val="darkGray"/>
        </w:rPr>
        <w:t>[If applicable, describe any other mean /measure ensuring the protection of the sources]</w:t>
      </w:r>
    </w:p>
    <w:p w14:paraId="21150AA7" w14:textId="77777777" w:rsidR="00A47F01" w:rsidRPr="00A47F01" w:rsidRDefault="00A47F01" w:rsidP="00A47F01">
      <w:pPr>
        <w:pStyle w:val="NoSpacing"/>
        <w:spacing w:line="276" w:lineRule="auto"/>
        <w:ind w:left="0"/>
        <w:rPr>
          <w:szCs w:val="20"/>
        </w:rPr>
      </w:pPr>
    </w:p>
    <w:p w14:paraId="0B12D48E" w14:textId="77777777" w:rsidR="00A47F01" w:rsidRPr="00A47F01" w:rsidRDefault="00A47F01" w:rsidP="00A47F01">
      <w:pPr>
        <w:pStyle w:val="NoSpacing"/>
        <w:numPr>
          <w:ilvl w:val="0"/>
          <w:numId w:val="17"/>
        </w:numPr>
        <w:spacing w:line="276" w:lineRule="auto"/>
        <w:jc w:val="both"/>
        <w:rPr>
          <w:b/>
          <w:szCs w:val="20"/>
        </w:rPr>
      </w:pPr>
      <w:r w:rsidRPr="00A47F01">
        <w:rPr>
          <w:rFonts w:ascii="Arial Black" w:hAnsi="Arial Black"/>
          <w:b/>
          <w:szCs w:val="20"/>
        </w:rPr>
        <w:t>Risk of leaks or inadvertent disclosure</w:t>
      </w:r>
    </w:p>
    <w:p w14:paraId="6C70FB8A" w14:textId="77777777" w:rsidR="00A47F01" w:rsidRPr="00A47F01" w:rsidRDefault="00A47F01" w:rsidP="00A47F01">
      <w:pPr>
        <w:pStyle w:val="NoSpacing"/>
        <w:spacing w:line="276" w:lineRule="auto"/>
        <w:ind w:left="0"/>
        <w:jc w:val="both"/>
        <w:rPr>
          <w:szCs w:val="20"/>
        </w:rPr>
      </w:pPr>
    </w:p>
    <w:p w14:paraId="456EC090" w14:textId="34CE658B" w:rsidR="00A47F01" w:rsidRPr="00A47F01" w:rsidRDefault="00A47F01" w:rsidP="00A47F01">
      <w:pPr>
        <w:pStyle w:val="NoSpacing"/>
        <w:spacing w:line="276" w:lineRule="auto"/>
        <w:ind w:left="720"/>
        <w:jc w:val="both"/>
        <w:rPr>
          <w:szCs w:val="20"/>
        </w:rPr>
      </w:pPr>
      <w:r w:rsidRPr="00A47F01">
        <w:rPr>
          <w:szCs w:val="20"/>
        </w:rPr>
        <w:t xml:space="preserve">In accordance with point 1. above, </w:t>
      </w:r>
      <w:r w:rsidRPr="00A47F01">
        <w:rPr>
          <w:szCs w:val="20"/>
          <w:highlight w:val="darkGray"/>
        </w:rPr>
        <w:t>[POSITION TITLE AND/OR NAME]</w:t>
      </w:r>
      <w:r w:rsidRPr="00A47F01">
        <w:rPr>
          <w:szCs w:val="20"/>
        </w:rPr>
        <w:t xml:space="preserve"> ensures the minimization of the risk of leaks and inadvertent disclosure of intelligence captured. However, should this occur, </w:t>
      </w:r>
      <w:r w:rsidRPr="00A47F01">
        <w:rPr>
          <w:szCs w:val="20"/>
          <w:highlight w:val="darkGray"/>
        </w:rPr>
        <w:t>[POSITION TITLE AND/OR NAME]</w:t>
      </w:r>
      <w:r w:rsidRPr="00A47F01">
        <w:rPr>
          <w:szCs w:val="20"/>
        </w:rPr>
        <w:t xml:space="preserve"> shall promptly evaluate the nature of the leak disclosure, the possible negative consequences, and take remediation measures as appropriate. </w:t>
      </w:r>
      <w:r w:rsidRPr="00A47F01">
        <w:rPr>
          <w:szCs w:val="20"/>
          <w:highlight w:val="darkGray"/>
        </w:rPr>
        <w:t>[ADO NAME]</w:t>
      </w:r>
      <w:r w:rsidRPr="00A47F01">
        <w:rPr>
          <w:szCs w:val="20"/>
        </w:rPr>
        <w:t xml:space="preserve"> shall keep a record of the facts relating to the leak or disclosure, its effects and remedial actions taken.</w:t>
      </w:r>
    </w:p>
    <w:p w14:paraId="44DE2FA6" w14:textId="77777777" w:rsidR="00A47F01" w:rsidRPr="00A47F01" w:rsidRDefault="00A47F01" w:rsidP="00A47F01">
      <w:pPr>
        <w:pStyle w:val="NoSpacing"/>
        <w:spacing w:line="276" w:lineRule="auto"/>
        <w:ind w:left="720"/>
        <w:jc w:val="both"/>
        <w:rPr>
          <w:szCs w:val="20"/>
        </w:rPr>
      </w:pPr>
    </w:p>
    <w:p w14:paraId="1AD6DD42" w14:textId="77777777" w:rsidR="00A47F01" w:rsidRPr="00A47F01" w:rsidRDefault="00A47F01" w:rsidP="00A47F01">
      <w:pPr>
        <w:pStyle w:val="NoSpacing"/>
        <w:spacing w:line="276" w:lineRule="auto"/>
        <w:ind w:left="720"/>
        <w:jc w:val="both"/>
        <w:rPr>
          <w:i/>
          <w:iCs/>
          <w:szCs w:val="20"/>
        </w:rPr>
      </w:pPr>
      <w:r w:rsidRPr="00A47F01">
        <w:rPr>
          <w:i/>
          <w:iCs/>
          <w:szCs w:val="20"/>
          <w:highlight w:val="darkGray"/>
        </w:rPr>
        <w:t>[In case documents are leaked, conducting a further internal audit or assessment maybe useful to determine the risks and to assess any measures that could be taken to reduce those risks. If applicable, describe the internal audit process here].</w:t>
      </w:r>
      <w:r w:rsidRPr="00A47F01">
        <w:rPr>
          <w:i/>
          <w:iCs/>
          <w:szCs w:val="20"/>
        </w:rPr>
        <w:t xml:space="preserve"> </w:t>
      </w:r>
    </w:p>
    <w:p w14:paraId="62ADDE6A" w14:textId="77777777" w:rsidR="00A47F01" w:rsidRPr="00A47F01" w:rsidRDefault="00A47F01" w:rsidP="00A47F01">
      <w:pPr>
        <w:pStyle w:val="NoSpacing"/>
        <w:spacing w:line="276" w:lineRule="auto"/>
        <w:ind w:left="0"/>
        <w:jc w:val="both"/>
        <w:rPr>
          <w:szCs w:val="20"/>
        </w:rPr>
      </w:pPr>
    </w:p>
    <w:p w14:paraId="433A80EB" w14:textId="77777777" w:rsidR="00A47F01" w:rsidRPr="00A47F01" w:rsidRDefault="00A47F01" w:rsidP="00A47F01">
      <w:pPr>
        <w:pStyle w:val="NoSpacing"/>
        <w:numPr>
          <w:ilvl w:val="0"/>
          <w:numId w:val="17"/>
        </w:numPr>
        <w:spacing w:line="276" w:lineRule="auto"/>
        <w:jc w:val="both"/>
        <w:rPr>
          <w:rFonts w:ascii="Arial Black" w:hAnsi="Arial Black"/>
          <w:b/>
          <w:szCs w:val="20"/>
        </w:rPr>
      </w:pPr>
      <w:r w:rsidRPr="00A47F01">
        <w:rPr>
          <w:rFonts w:ascii="Arial Black" w:hAnsi="Arial Black"/>
          <w:b/>
          <w:szCs w:val="20"/>
        </w:rPr>
        <w:t>Shared information</w:t>
      </w:r>
    </w:p>
    <w:p w14:paraId="36708D3D" w14:textId="77777777" w:rsidR="00A47F01" w:rsidRPr="00A47F01" w:rsidRDefault="00A47F01" w:rsidP="00A47F01">
      <w:pPr>
        <w:pStyle w:val="NoSpacing"/>
        <w:spacing w:line="276" w:lineRule="auto"/>
        <w:ind w:left="720"/>
        <w:jc w:val="both"/>
        <w:rPr>
          <w:szCs w:val="20"/>
        </w:rPr>
      </w:pPr>
    </w:p>
    <w:p w14:paraId="16E73D25" w14:textId="00E3FC66" w:rsidR="00A47F01" w:rsidRPr="00A47F01" w:rsidRDefault="00A47F01" w:rsidP="00A47F01">
      <w:pPr>
        <w:pStyle w:val="NoSpacing"/>
        <w:spacing w:line="276" w:lineRule="auto"/>
        <w:ind w:left="720"/>
        <w:jc w:val="both"/>
        <w:rPr>
          <w:szCs w:val="20"/>
        </w:rPr>
      </w:pPr>
      <w:r w:rsidRPr="00A47F01">
        <w:rPr>
          <w:szCs w:val="20"/>
        </w:rPr>
        <w:t xml:space="preserve">Where intelligence is shared with </w:t>
      </w:r>
      <w:r w:rsidRPr="00A47F01">
        <w:rPr>
          <w:szCs w:val="20"/>
          <w:highlight w:val="darkGray"/>
        </w:rPr>
        <w:t>[ADO NAME]</w:t>
      </w:r>
      <w:r w:rsidRPr="00A47F01">
        <w:rPr>
          <w:szCs w:val="20"/>
        </w:rPr>
        <w:t xml:space="preserve"> by other parties such as health, law enforcement agencies, sports organization, other Anti-Doping Organizations, etc., </w:t>
      </w:r>
      <w:r w:rsidRPr="00A47F01">
        <w:rPr>
          <w:szCs w:val="20"/>
          <w:highlight w:val="darkGray"/>
        </w:rPr>
        <w:t>[POSITION TITLE AND/OR NAME]</w:t>
      </w:r>
      <w:r w:rsidRPr="00A47F01">
        <w:rPr>
          <w:szCs w:val="20"/>
        </w:rPr>
        <w:t xml:space="preserve"> will confirm in writing to such other parties that all intelligence received is processed, used and disclosed according to the procedures set out in points 1, 2 and 3, and only for legitimate anti-doping purposes.</w:t>
      </w:r>
    </w:p>
    <w:p w14:paraId="40218211" w14:textId="77777777" w:rsidR="00A47F01" w:rsidRPr="00A47F01" w:rsidRDefault="00A47F01" w:rsidP="00A47F01">
      <w:pPr>
        <w:pStyle w:val="NoSpacing"/>
        <w:spacing w:line="276" w:lineRule="auto"/>
        <w:ind w:left="720"/>
        <w:jc w:val="both"/>
        <w:rPr>
          <w:szCs w:val="20"/>
        </w:rPr>
      </w:pPr>
    </w:p>
    <w:p w14:paraId="7DDDB7B3" w14:textId="0A91A0C7" w:rsidR="0016627E" w:rsidRPr="00A47F01" w:rsidRDefault="00A47F01" w:rsidP="0016627E">
      <w:pPr>
        <w:pStyle w:val="NoSpacing"/>
        <w:spacing w:line="276" w:lineRule="auto"/>
        <w:ind w:left="720"/>
        <w:jc w:val="both"/>
        <w:rPr>
          <w:szCs w:val="20"/>
        </w:rPr>
      </w:pPr>
      <w:r w:rsidRPr="00A47F01">
        <w:rPr>
          <w:szCs w:val="20"/>
        </w:rPr>
        <w:t xml:space="preserve">Where intelligence is shared by </w:t>
      </w:r>
      <w:r w:rsidRPr="00A47F01">
        <w:rPr>
          <w:szCs w:val="20"/>
          <w:highlight w:val="darkGray"/>
        </w:rPr>
        <w:t>[ADO NAME]</w:t>
      </w:r>
      <w:r w:rsidRPr="00A47F01">
        <w:rPr>
          <w:szCs w:val="20"/>
        </w:rPr>
        <w:t xml:space="preserve"> with other parties, </w:t>
      </w:r>
      <w:r w:rsidRPr="00A47F01">
        <w:rPr>
          <w:szCs w:val="20"/>
          <w:highlight w:val="darkGray"/>
        </w:rPr>
        <w:t>[ADO NAME]</w:t>
      </w:r>
      <w:r w:rsidRPr="00A47F01">
        <w:rPr>
          <w:szCs w:val="20"/>
        </w:rPr>
        <w:t xml:space="preserve"> will require the same written confirmation from such other parties.</w:t>
      </w:r>
      <w:r w:rsidR="0016627E">
        <w:rPr>
          <w:szCs w:val="20"/>
        </w:rPr>
        <w:t xml:space="preserve"> </w:t>
      </w:r>
    </w:p>
    <w:p w14:paraId="4F1AFF3A" w14:textId="77777777" w:rsidR="00A47F01" w:rsidRPr="00A47F01" w:rsidRDefault="00A47F01" w:rsidP="00A47F01">
      <w:pPr>
        <w:pStyle w:val="NoSpacing"/>
        <w:spacing w:line="276" w:lineRule="auto"/>
        <w:ind w:left="720"/>
        <w:jc w:val="both"/>
        <w:rPr>
          <w:szCs w:val="20"/>
        </w:rPr>
      </w:pPr>
    </w:p>
    <w:p w14:paraId="59BE31F4" w14:textId="5493D7C8" w:rsidR="00A47F01" w:rsidRPr="00A47F01" w:rsidRDefault="00A47F01" w:rsidP="00A47F01">
      <w:pPr>
        <w:pStyle w:val="NoSpacing"/>
        <w:spacing w:line="276" w:lineRule="auto"/>
        <w:ind w:left="720"/>
        <w:jc w:val="both"/>
        <w:rPr>
          <w:i/>
          <w:szCs w:val="20"/>
        </w:rPr>
      </w:pPr>
      <w:r w:rsidRPr="00A47F01">
        <w:rPr>
          <w:i/>
          <w:szCs w:val="20"/>
          <w:highlight w:val="darkGray"/>
        </w:rPr>
        <w:lastRenderedPageBreak/>
        <w:t>[If applicable, describe any other mean /measure reinforcing this commitment, for example: cooperation agreement, memorandum of understanding].</w:t>
      </w:r>
    </w:p>
    <w:p w14:paraId="2128D263" w14:textId="53FDCA39" w:rsidR="00A47F01" w:rsidRPr="00B126C6" w:rsidRDefault="0016627E" w:rsidP="00B126C6">
      <w:pPr>
        <w:spacing w:before="120" w:line="276" w:lineRule="auto"/>
        <w:ind w:left="720" w:firstLine="4"/>
        <w:jc w:val="both"/>
        <w:rPr>
          <w:rFonts w:eastAsia="Calibri" w:cs="Arial"/>
          <w:b/>
          <w:noProof/>
          <w:color w:val="0071BC"/>
          <w:sz w:val="20"/>
          <w:szCs w:val="20"/>
        </w:rPr>
      </w:pPr>
      <w:r w:rsidRPr="00B126C6">
        <w:rPr>
          <w:sz w:val="20"/>
          <w:szCs w:val="20"/>
        </w:rPr>
        <w:t xml:space="preserve">The </w:t>
      </w:r>
      <w:r w:rsidRPr="00B126C6">
        <w:rPr>
          <w:sz w:val="20"/>
          <w:szCs w:val="20"/>
          <w:highlight w:val="darkGray"/>
        </w:rPr>
        <w:t>[ADO NAME]</w:t>
      </w:r>
      <w:r w:rsidRPr="00B126C6">
        <w:rPr>
          <w:sz w:val="20"/>
          <w:szCs w:val="20"/>
        </w:rPr>
        <w:t xml:space="preserve"> will use secure communication tools when transferring any confidential information to external parties. </w:t>
      </w:r>
    </w:p>
    <w:p w14:paraId="76AF20CF" w14:textId="6C049B32" w:rsidR="0016627E" w:rsidRDefault="0016627E" w:rsidP="00A47F01">
      <w:pPr>
        <w:spacing w:before="120" w:line="276" w:lineRule="auto"/>
        <w:ind w:left="446"/>
        <w:jc w:val="both"/>
        <w:rPr>
          <w:rFonts w:eastAsia="Calibri" w:cs="Arial"/>
          <w:b/>
          <w:noProof/>
          <w:color w:val="0071BC"/>
          <w:sz w:val="24"/>
          <w:szCs w:val="24"/>
        </w:rPr>
      </w:pPr>
      <w:r>
        <w:rPr>
          <w:rFonts w:eastAsia="Calibri" w:cs="Arial"/>
          <w:b/>
          <w:noProof/>
          <w:color w:val="0071BC"/>
          <w:sz w:val="24"/>
          <w:szCs w:val="24"/>
        </w:rPr>
        <w:tab/>
      </w:r>
    </w:p>
    <w:p w14:paraId="6281A821" w14:textId="4E2DDD5B" w:rsidR="00A47F01" w:rsidRDefault="00A47F01" w:rsidP="00F16566">
      <w:pPr>
        <w:spacing w:after="160"/>
        <w:rPr>
          <w:rFonts w:eastAsia="Calibri" w:cs="Arial"/>
          <w:b/>
          <w:noProof/>
          <w:color w:val="0071BC"/>
          <w:sz w:val="24"/>
          <w:szCs w:val="24"/>
        </w:rPr>
      </w:pPr>
      <w:r w:rsidRPr="00757083">
        <w:rPr>
          <w:rFonts w:eastAsia="Calibri" w:cs="Arial"/>
          <w:b/>
          <w:noProof/>
          <w:color w:val="0071BC"/>
          <w:sz w:val="24"/>
          <w:szCs w:val="24"/>
        </w:rPr>
        <w:t>Gathering, assessment and use of anti-doping information (intelligence)</w:t>
      </w:r>
    </w:p>
    <w:p w14:paraId="14F0D1EC" w14:textId="77777777" w:rsidR="00757083" w:rsidRDefault="00757083" w:rsidP="00757083">
      <w:pPr>
        <w:pStyle w:val="NoSpacing"/>
        <w:spacing w:before="120" w:line="276" w:lineRule="auto"/>
        <w:jc w:val="both"/>
        <w:rPr>
          <w:b/>
        </w:rPr>
      </w:pPr>
    </w:p>
    <w:p w14:paraId="73CD7B90" w14:textId="57EC07B7" w:rsidR="00757083" w:rsidRPr="00757083" w:rsidRDefault="00757083" w:rsidP="00757083">
      <w:pPr>
        <w:pStyle w:val="NoSpacing"/>
        <w:numPr>
          <w:ilvl w:val="0"/>
          <w:numId w:val="21"/>
        </w:numPr>
        <w:spacing w:line="276" w:lineRule="auto"/>
        <w:jc w:val="both"/>
        <w:rPr>
          <w:rFonts w:ascii="Arial Black" w:hAnsi="Arial Black"/>
          <w:b/>
        </w:rPr>
      </w:pPr>
      <w:r w:rsidRPr="00757083">
        <w:rPr>
          <w:rFonts w:ascii="Arial Black" w:hAnsi="Arial Black"/>
          <w:b/>
        </w:rPr>
        <w:t>Information sources and whistleblowers reporting tools</w:t>
      </w:r>
    </w:p>
    <w:p w14:paraId="2D0A4431" w14:textId="77777777" w:rsidR="00757083" w:rsidRPr="00EA4F54" w:rsidRDefault="00757083" w:rsidP="00757083">
      <w:pPr>
        <w:pStyle w:val="NoSpacing"/>
        <w:spacing w:line="276" w:lineRule="auto"/>
        <w:ind w:left="720"/>
        <w:jc w:val="both"/>
      </w:pPr>
    </w:p>
    <w:p w14:paraId="7DE6CF75" w14:textId="77777777" w:rsidR="00757083" w:rsidRPr="00BA27CC" w:rsidRDefault="00757083" w:rsidP="00757083">
      <w:pPr>
        <w:pStyle w:val="NoSpacing"/>
        <w:spacing w:line="276" w:lineRule="auto"/>
        <w:ind w:left="720"/>
        <w:jc w:val="both"/>
        <w:rPr>
          <w:i/>
        </w:rPr>
      </w:pPr>
      <w:r w:rsidRPr="00757083">
        <w:rPr>
          <w:i/>
          <w:highlight w:val="darkGray"/>
        </w:rPr>
        <w:t>[Briefly list or describe below the various sources available depending on the specific nature and priorities of the ADO, as well as realistic expectations. For example:]</w:t>
      </w:r>
    </w:p>
    <w:p w14:paraId="1AB1BC88" w14:textId="0ADB3F2E" w:rsidR="00757083" w:rsidRPr="00BA27CC" w:rsidRDefault="00757083" w:rsidP="00757083">
      <w:pPr>
        <w:pStyle w:val="NoSpacing"/>
        <w:spacing w:line="276" w:lineRule="auto"/>
        <w:ind w:left="720"/>
        <w:jc w:val="both"/>
      </w:pPr>
      <w:r w:rsidRPr="00BA27CC">
        <w:br/>
        <w:t>Internal or “closed” sources (where access is restricted)</w:t>
      </w:r>
      <w:r w:rsidR="00F16566">
        <w:t xml:space="preserve"> include</w:t>
      </w:r>
      <w:r w:rsidRPr="00BA27CC">
        <w:t xml:space="preserve">: ADAMS, Athlete Passport Management Unit (APMU), other ADOs, </w:t>
      </w:r>
      <w:r>
        <w:t xml:space="preserve">WADA, </w:t>
      </w:r>
      <w:r w:rsidRPr="00BA27CC">
        <w:t>laboratories, law enforcement</w:t>
      </w:r>
      <w:r w:rsidR="00F16566">
        <w:t>,</w:t>
      </w:r>
      <w:r w:rsidRPr="00BA27CC">
        <w:t xml:space="preserve"> health agencies, sample collections agencies’ Doping Control Officers (DCO), chaperones, whistleblowers reports (e.g., confidential reporting by Athletes or Athlete Support Personnel), </w:t>
      </w:r>
      <w:r w:rsidRPr="00757083">
        <w:rPr>
          <w:highlight w:val="darkGray"/>
        </w:rPr>
        <w:t>[ADO NAME]</w:t>
      </w:r>
      <w:r w:rsidRPr="00BA27CC">
        <w:t>’s Medical/Anti-Doping officers, Code “Substantial Assistance” provision, etc.</w:t>
      </w:r>
    </w:p>
    <w:p w14:paraId="2F9A7F28" w14:textId="1CFE689D" w:rsidR="00757083" w:rsidRPr="00BA27CC" w:rsidRDefault="00757083" w:rsidP="00757083">
      <w:pPr>
        <w:pStyle w:val="NoSpacing"/>
        <w:spacing w:line="276" w:lineRule="auto"/>
        <w:ind w:left="720"/>
        <w:jc w:val="both"/>
      </w:pPr>
      <w:r w:rsidRPr="00BA27CC">
        <w:br/>
        <w:t>External or “open’ sources (publicly available information)</w:t>
      </w:r>
      <w:r w:rsidR="00F16566">
        <w:t xml:space="preserve"> include</w:t>
      </w:r>
      <w:r w:rsidRPr="00BA27CC">
        <w:t xml:space="preserve">: Internet, traditional and social media, research and academic publications, sports </w:t>
      </w:r>
      <w:proofErr w:type="gramStart"/>
      <w:r w:rsidRPr="00BA27CC">
        <w:t>news</w:t>
      </w:r>
      <w:proofErr w:type="gramEnd"/>
      <w:r w:rsidRPr="00BA27CC">
        <w:t xml:space="preserve"> and forums, etc.</w:t>
      </w:r>
    </w:p>
    <w:p w14:paraId="550CDB86" w14:textId="77777777" w:rsidR="00757083" w:rsidRPr="00BA27CC" w:rsidRDefault="00757083" w:rsidP="00757083">
      <w:pPr>
        <w:pStyle w:val="NoSpacing"/>
        <w:spacing w:line="276" w:lineRule="auto"/>
        <w:ind w:left="720"/>
        <w:jc w:val="both"/>
      </w:pPr>
    </w:p>
    <w:p w14:paraId="694E9425" w14:textId="77777777" w:rsidR="00757083" w:rsidRPr="00BA27CC" w:rsidRDefault="00757083" w:rsidP="00757083">
      <w:pPr>
        <w:pStyle w:val="NoSpacing"/>
        <w:spacing w:line="276" w:lineRule="auto"/>
        <w:ind w:left="720"/>
      </w:pPr>
      <w:r w:rsidRPr="00757083">
        <w:rPr>
          <w:i/>
          <w:highlight w:val="darkGray"/>
        </w:rPr>
        <w:t>[Describe below the available whistleblowers reporting tools. For example:]</w:t>
      </w:r>
      <w:r w:rsidRPr="00BA27CC">
        <w:br/>
      </w:r>
    </w:p>
    <w:p w14:paraId="069641F0" w14:textId="023002B9" w:rsidR="00757083" w:rsidRPr="00BA27CC" w:rsidRDefault="00757083" w:rsidP="00757083">
      <w:pPr>
        <w:pStyle w:val="NoSpacing"/>
        <w:spacing w:line="276" w:lineRule="auto"/>
        <w:ind w:left="720"/>
        <w:jc w:val="both"/>
      </w:pPr>
      <w:r w:rsidRPr="00BA27CC">
        <w:t xml:space="preserve">A dedicated e-mail address, </w:t>
      </w:r>
      <w:r w:rsidRPr="00757083">
        <w:rPr>
          <w:highlight w:val="darkGray"/>
        </w:rPr>
        <w:t>[ADO NAME]</w:t>
      </w:r>
      <w:r w:rsidRPr="00BA27CC">
        <w:t>’s website specific platform or WADA “Speak Up” platform.</w:t>
      </w:r>
    </w:p>
    <w:p w14:paraId="4D6C3648" w14:textId="77777777" w:rsidR="00757083" w:rsidRDefault="00757083" w:rsidP="00757083">
      <w:pPr>
        <w:pStyle w:val="NoSpacing"/>
        <w:spacing w:line="276" w:lineRule="auto"/>
        <w:ind w:left="720"/>
        <w:jc w:val="both"/>
      </w:pPr>
    </w:p>
    <w:p w14:paraId="4B6B346F" w14:textId="77777777" w:rsidR="00757083" w:rsidRPr="00757083" w:rsidRDefault="00757083" w:rsidP="00757083">
      <w:pPr>
        <w:pStyle w:val="NoSpacing"/>
        <w:spacing w:line="276" w:lineRule="auto"/>
        <w:ind w:left="720"/>
        <w:jc w:val="both"/>
      </w:pPr>
      <w:r w:rsidRPr="00757083">
        <w:rPr>
          <w:i/>
          <w:iCs/>
          <w:highlight w:val="darkGray"/>
        </w:rPr>
        <w:t xml:space="preserve">[Please note that the direct access to the WADA ‘Speak Up’ platform from an ADO’s website is subject to WADA’s permission. Please contact </w:t>
      </w:r>
      <w:hyperlink r:id="rId8" w:history="1">
        <w:r w:rsidRPr="00757083">
          <w:rPr>
            <w:rStyle w:val="Hyperlink"/>
            <w:i/>
            <w:iCs/>
            <w:color w:val="0071BC"/>
            <w:highlight w:val="darkGray"/>
          </w:rPr>
          <w:t>whistleblower@wada-ama.org</w:t>
        </w:r>
      </w:hyperlink>
      <w:r w:rsidRPr="00757083">
        <w:rPr>
          <w:rStyle w:val="Hyperlink"/>
          <w:i/>
          <w:iCs/>
          <w:color w:val="0071BC"/>
          <w:highlight w:val="darkGray"/>
        </w:rPr>
        <w:t>,</w:t>
      </w:r>
      <w:r w:rsidRPr="00757083">
        <w:rPr>
          <w:rStyle w:val="Hyperlink"/>
          <w:i/>
          <w:iCs/>
          <w:color w:val="474747" w:themeColor="text1" w:themeShade="BF"/>
          <w:highlight w:val="darkGray"/>
          <w:u w:val="none"/>
        </w:rPr>
        <w:t xml:space="preserve"> (</w:t>
      </w:r>
      <w:r w:rsidRPr="00757083">
        <w:rPr>
          <w:i/>
          <w:iCs/>
          <w:szCs w:val="20"/>
          <w:highlight w:val="darkGray"/>
        </w:rPr>
        <w:t xml:space="preserve">copying </w:t>
      </w:r>
      <w:hyperlink r:id="rId9" w:history="1">
        <w:r w:rsidRPr="00757083">
          <w:rPr>
            <w:rStyle w:val="Hyperlink"/>
            <w:i/>
            <w:iCs/>
            <w:color w:val="0071BC"/>
            <w:szCs w:val="20"/>
            <w:highlight w:val="darkGray"/>
          </w:rPr>
          <w:t>IFRelations@wada-ama.org</w:t>
        </w:r>
      </w:hyperlink>
      <w:r w:rsidRPr="00757083">
        <w:rPr>
          <w:i/>
          <w:iCs/>
          <w:szCs w:val="20"/>
          <w:highlight w:val="darkGray"/>
        </w:rPr>
        <w:t xml:space="preserve"> in the case of an International Federation) </w:t>
      </w:r>
      <w:r w:rsidRPr="00757083">
        <w:rPr>
          <w:i/>
          <w:iCs/>
          <w:highlight w:val="darkGray"/>
        </w:rPr>
        <w:t>for additional information on the application process]</w:t>
      </w:r>
      <w:r w:rsidRPr="00757083">
        <w:rPr>
          <w:highlight w:val="darkGray"/>
        </w:rPr>
        <w:t>.</w:t>
      </w:r>
    </w:p>
    <w:p w14:paraId="6AC75CB7" w14:textId="77777777" w:rsidR="00757083" w:rsidRPr="00BA27CC" w:rsidRDefault="00757083" w:rsidP="00757083">
      <w:pPr>
        <w:pStyle w:val="NoSpacing"/>
        <w:spacing w:line="276" w:lineRule="auto"/>
        <w:ind w:left="720"/>
        <w:jc w:val="both"/>
      </w:pPr>
      <w:r>
        <w:t xml:space="preserve"> </w:t>
      </w:r>
    </w:p>
    <w:p w14:paraId="1F0D08E2" w14:textId="77777777" w:rsidR="00757083" w:rsidRPr="00757083" w:rsidRDefault="00757083" w:rsidP="00757083">
      <w:pPr>
        <w:pStyle w:val="NoSpacing"/>
        <w:numPr>
          <w:ilvl w:val="0"/>
          <w:numId w:val="21"/>
        </w:numPr>
        <w:spacing w:line="276" w:lineRule="auto"/>
        <w:jc w:val="both"/>
        <w:rPr>
          <w:rFonts w:ascii="Arial Black" w:hAnsi="Arial Black"/>
          <w:b/>
        </w:rPr>
      </w:pPr>
      <w:r w:rsidRPr="00757083">
        <w:rPr>
          <w:rFonts w:ascii="Arial Black" w:hAnsi="Arial Black"/>
          <w:b/>
        </w:rPr>
        <w:t>Collation and assessment</w:t>
      </w:r>
    </w:p>
    <w:p w14:paraId="521A832B" w14:textId="77777777" w:rsidR="00757083" w:rsidRDefault="00757083" w:rsidP="00757083">
      <w:pPr>
        <w:pStyle w:val="NoSpacing"/>
        <w:spacing w:line="276" w:lineRule="auto"/>
        <w:ind w:left="720"/>
        <w:jc w:val="both"/>
        <w:rPr>
          <w:highlight w:val="yellow"/>
        </w:rPr>
      </w:pPr>
    </w:p>
    <w:p w14:paraId="5E26E3E2" w14:textId="4F36C02D" w:rsidR="00757083" w:rsidRDefault="00757083" w:rsidP="00757083">
      <w:pPr>
        <w:pStyle w:val="NoSpacing"/>
        <w:spacing w:line="276" w:lineRule="auto"/>
        <w:ind w:left="720"/>
        <w:jc w:val="both"/>
      </w:pPr>
      <w:r w:rsidRPr="00757083">
        <w:rPr>
          <w:highlight w:val="darkGray"/>
        </w:rPr>
        <w:t>[POSITION TITLE AND/OR NAME]</w:t>
      </w:r>
      <w:r w:rsidRPr="00DF35E8">
        <w:t xml:space="preserve"> first evaluates the reliability of the source, then assesses the accuracy of the information itself.</w:t>
      </w:r>
    </w:p>
    <w:p w14:paraId="15013816" w14:textId="77777777" w:rsidR="00757083" w:rsidRPr="00DF35E8" w:rsidRDefault="00757083" w:rsidP="00757083">
      <w:pPr>
        <w:pStyle w:val="NoSpacing"/>
        <w:spacing w:line="276" w:lineRule="auto"/>
        <w:ind w:left="720"/>
        <w:jc w:val="both"/>
      </w:pPr>
    </w:p>
    <w:p w14:paraId="6AD15571" w14:textId="77777777" w:rsidR="00757083" w:rsidRDefault="00757083" w:rsidP="00757083">
      <w:pPr>
        <w:pStyle w:val="NoSpacing"/>
        <w:spacing w:line="276" w:lineRule="auto"/>
        <w:ind w:left="720"/>
        <w:jc w:val="both"/>
      </w:pPr>
      <w:r w:rsidRPr="00757083">
        <w:rPr>
          <w:i/>
          <w:highlight w:val="darkGray"/>
        </w:rPr>
        <w:t xml:space="preserve">[As appropriate, describe briefly below the method used for these two processes. The </w:t>
      </w:r>
      <w:r w:rsidRPr="00757083">
        <w:rPr>
          <w:i/>
          <w:highlight w:val="darkGray"/>
          <w:lang w:val="en-CA"/>
        </w:rPr>
        <w:t>“Admiralty Scale” approach described in Art.5.1 of the “Information Gathering and Intelligence Sharing Guidelines” may be of assistance</w:t>
      </w:r>
      <w:r w:rsidRPr="00757083">
        <w:rPr>
          <w:i/>
          <w:highlight w:val="darkGray"/>
        </w:rPr>
        <w:t>]</w:t>
      </w:r>
    </w:p>
    <w:p w14:paraId="7BC7CBC1" w14:textId="77777777" w:rsidR="00757083" w:rsidRDefault="00757083" w:rsidP="00757083">
      <w:pPr>
        <w:pStyle w:val="NoSpacing"/>
        <w:spacing w:line="276" w:lineRule="auto"/>
        <w:ind w:left="0"/>
      </w:pPr>
    </w:p>
    <w:p w14:paraId="57781B6A" w14:textId="77777777" w:rsidR="00757083" w:rsidRPr="00757083" w:rsidRDefault="00757083" w:rsidP="00757083">
      <w:pPr>
        <w:pStyle w:val="NoSpacing"/>
        <w:numPr>
          <w:ilvl w:val="0"/>
          <w:numId w:val="21"/>
        </w:numPr>
        <w:spacing w:line="276" w:lineRule="auto"/>
        <w:jc w:val="both"/>
        <w:rPr>
          <w:rFonts w:ascii="Arial Black" w:hAnsi="Arial Black"/>
          <w:b/>
        </w:rPr>
      </w:pPr>
      <w:r w:rsidRPr="00757083">
        <w:rPr>
          <w:rFonts w:ascii="Arial Black" w:hAnsi="Arial Black"/>
          <w:b/>
        </w:rPr>
        <w:t>Processing and outcomes</w:t>
      </w:r>
    </w:p>
    <w:p w14:paraId="35C09277" w14:textId="77777777" w:rsidR="00757083" w:rsidRDefault="00757083" w:rsidP="00757083">
      <w:pPr>
        <w:pStyle w:val="NoSpacing"/>
        <w:spacing w:line="276" w:lineRule="auto"/>
        <w:ind w:left="720"/>
        <w:jc w:val="both"/>
      </w:pPr>
    </w:p>
    <w:p w14:paraId="37BFBAB8" w14:textId="35C72EE6" w:rsidR="00757083" w:rsidRDefault="00757083" w:rsidP="00757083">
      <w:pPr>
        <w:pStyle w:val="NoSpacing"/>
        <w:spacing w:line="276" w:lineRule="auto"/>
        <w:ind w:left="720"/>
        <w:jc w:val="both"/>
      </w:pPr>
      <w:r>
        <w:lastRenderedPageBreak/>
        <w:t xml:space="preserve">Taking into account the evaluation and assessment above, and other relevant factors indicating potential risks of doping, such as those identified in the </w:t>
      </w:r>
      <w:r w:rsidRPr="00757083">
        <w:rPr>
          <w:highlight w:val="darkGray"/>
        </w:rPr>
        <w:t>[ADO NAME]</w:t>
      </w:r>
      <w:r>
        <w:t xml:space="preserve">’s risk assessment, </w:t>
      </w:r>
      <w:r w:rsidRPr="00757083">
        <w:rPr>
          <w:highlight w:val="darkGray"/>
        </w:rPr>
        <w:t>[POSITION TITLE AND/OR NAME]</w:t>
      </w:r>
      <w:r>
        <w:t xml:space="preserve"> determines follow-up action(s) such as:</w:t>
      </w:r>
    </w:p>
    <w:p w14:paraId="516AF65D" w14:textId="77777777" w:rsidR="00757083" w:rsidRDefault="00757083" w:rsidP="00757083">
      <w:pPr>
        <w:pStyle w:val="NoSpacing"/>
        <w:spacing w:line="276" w:lineRule="auto"/>
        <w:ind w:left="720"/>
        <w:jc w:val="both"/>
      </w:pPr>
    </w:p>
    <w:p w14:paraId="0F7A3F9B" w14:textId="77777777" w:rsidR="00757083" w:rsidRDefault="00757083" w:rsidP="00757083">
      <w:pPr>
        <w:pStyle w:val="NoSpacing"/>
        <w:numPr>
          <w:ilvl w:val="0"/>
          <w:numId w:val="20"/>
        </w:numPr>
        <w:spacing w:line="276" w:lineRule="auto"/>
        <w:jc w:val="both"/>
      </w:pPr>
      <w:r>
        <w:t>conducting target testing,</w:t>
      </w:r>
    </w:p>
    <w:p w14:paraId="5FE6CD69" w14:textId="77777777" w:rsidR="00757083" w:rsidRDefault="00757083" w:rsidP="00757083">
      <w:pPr>
        <w:pStyle w:val="NoSpacing"/>
        <w:numPr>
          <w:ilvl w:val="0"/>
          <w:numId w:val="20"/>
        </w:numPr>
        <w:spacing w:before="240" w:line="276" w:lineRule="auto"/>
        <w:jc w:val="both"/>
      </w:pPr>
      <w:r>
        <w:t>conducting further investigation on a particular case,</w:t>
      </w:r>
    </w:p>
    <w:p w14:paraId="34632683" w14:textId="77777777" w:rsidR="00757083" w:rsidRDefault="00757083" w:rsidP="00757083">
      <w:pPr>
        <w:pStyle w:val="NoSpacing"/>
        <w:numPr>
          <w:ilvl w:val="0"/>
          <w:numId w:val="20"/>
        </w:numPr>
        <w:spacing w:before="240" w:line="276" w:lineRule="auto"/>
        <w:jc w:val="both"/>
      </w:pPr>
      <w:r>
        <w:t>establishing trends or patterns for reviewing the Test Distribution Plan, and/or,</w:t>
      </w:r>
    </w:p>
    <w:p w14:paraId="5AC9429C" w14:textId="676EACDF" w:rsidR="00757083" w:rsidRDefault="00757083" w:rsidP="00757083">
      <w:pPr>
        <w:pStyle w:val="NoSpacing"/>
        <w:numPr>
          <w:ilvl w:val="0"/>
          <w:numId w:val="20"/>
        </w:numPr>
        <w:spacing w:before="240" w:line="276" w:lineRule="auto"/>
        <w:jc w:val="both"/>
      </w:pPr>
      <w:r>
        <w:t>creating files to be referred for future investigations</w:t>
      </w:r>
      <w:r w:rsidR="003040CC">
        <w:t xml:space="preserve">. </w:t>
      </w:r>
    </w:p>
    <w:p w14:paraId="760D3E66" w14:textId="77777777" w:rsidR="00757083" w:rsidRDefault="00757083" w:rsidP="00757083">
      <w:pPr>
        <w:pStyle w:val="NoSpacing"/>
        <w:spacing w:line="276" w:lineRule="auto"/>
        <w:ind w:left="720"/>
        <w:jc w:val="both"/>
      </w:pPr>
    </w:p>
    <w:p w14:paraId="751FC630" w14:textId="2927BDD7" w:rsidR="00757083" w:rsidRPr="007918F3" w:rsidRDefault="00757083" w:rsidP="00757083">
      <w:pPr>
        <w:pStyle w:val="NoSpacing"/>
        <w:spacing w:line="276" w:lineRule="auto"/>
        <w:ind w:left="720"/>
        <w:jc w:val="both"/>
      </w:pPr>
      <w:r>
        <w:t xml:space="preserve">Where appropriate, sharing information with other parties such as law enforcement or other ADOs with jurisdiction can be considered, with </w:t>
      </w:r>
      <w:r w:rsidRPr="00757083">
        <w:rPr>
          <w:highlight w:val="darkGray"/>
        </w:rPr>
        <w:t>[POSITION TITLE AND/OR NAME]</w:t>
      </w:r>
      <w:r>
        <w:t xml:space="preserve"> </w:t>
      </w:r>
      <w:r w:rsidRPr="00C8546C">
        <w:t>e</w:t>
      </w:r>
      <w:r>
        <w:t>nsuring that at least the similar requirements as per point 4 “Shared Information” above are fulfilled by the other party.</w:t>
      </w:r>
    </w:p>
    <w:p w14:paraId="5F031872" w14:textId="77777777" w:rsidR="00757083" w:rsidRPr="001D53F1" w:rsidRDefault="00757083" w:rsidP="00757083">
      <w:pPr>
        <w:pStyle w:val="NoSpacing"/>
        <w:ind w:left="720"/>
      </w:pPr>
    </w:p>
    <w:p w14:paraId="1C25B0E3" w14:textId="77777777" w:rsidR="00757083" w:rsidRPr="00D150D4" w:rsidRDefault="00757083" w:rsidP="00A47F01">
      <w:pPr>
        <w:spacing w:before="120" w:line="276" w:lineRule="auto"/>
        <w:ind w:left="446"/>
        <w:jc w:val="both"/>
        <w:rPr>
          <w:rFonts w:eastAsia="Calibri" w:cs="Arial"/>
          <w:b/>
          <w:noProof/>
          <w:color w:val="0071BC"/>
          <w:sz w:val="24"/>
          <w:szCs w:val="24"/>
        </w:rPr>
      </w:pPr>
    </w:p>
    <w:sectPr w:rsidR="00757083" w:rsidRPr="00D150D4" w:rsidSect="00D27F7C">
      <w:headerReference w:type="default" r:id="rId10"/>
      <w:footerReference w:type="default" r:id="rId11"/>
      <w:pgSz w:w="12240" w:h="15840"/>
      <w:pgMar w:top="288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8B50A" w14:textId="77777777" w:rsidR="007D1E16" w:rsidRDefault="007D1E16" w:rsidP="00EE1508">
      <w:pPr>
        <w:spacing w:after="0" w:line="240" w:lineRule="auto"/>
      </w:pPr>
      <w:r>
        <w:separator/>
      </w:r>
    </w:p>
  </w:endnote>
  <w:endnote w:type="continuationSeparator" w:id="0">
    <w:p w14:paraId="660BCE3C" w14:textId="77777777" w:rsidR="007D1E16" w:rsidRDefault="007D1E16" w:rsidP="00EE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F8E4" w14:textId="77777777" w:rsidR="00777A00" w:rsidRDefault="00777A00" w:rsidP="00777A00">
    <w:pPr>
      <w:pStyle w:val="Footer"/>
      <w:ind w:left="270"/>
    </w:pPr>
  </w:p>
  <w:p w14:paraId="045C12A1" w14:textId="77777777" w:rsidR="00777A00" w:rsidRPr="006146D9" w:rsidRDefault="00777A00" w:rsidP="00777A00">
    <w:pPr>
      <w:pStyle w:val="Footer"/>
      <w:ind w:left="270"/>
    </w:pPr>
  </w:p>
  <w:p w14:paraId="5B436F1F" w14:textId="5492A982" w:rsidR="00777A00" w:rsidRDefault="00D27F7C" w:rsidP="005D51D7">
    <w:pPr>
      <w:pStyle w:val="Footer"/>
    </w:pPr>
    <w:r>
      <w:rPr>
        <w:noProof/>
      </w:rPr>
      <mc:AlternateContent>
        <mc:Choice Requires="wps">
          <w:drawing>
            <wp:anchor distT="45720" distB="45720" distL="114300" distR="114300" simplePos="0" relativeHeight="251665408" behindDoc="0" locked="0" layoutInCell="1" allowOverlap="1" wp14:anchorId="2638C14C" wp14:editId="197DBCB1">
              <wp:simplePos x="0" y="0"/>
              <wp:positionH relativeFrom="margin">
                <wp:posOffset>-205105</wp:posOffset>
              </wp:positionH>
              <wp:positionV relativeFrom="paragraph">
                <wp:posOffset>81915</wp:posOffset>
              </wp:positionV>
              <wp:extent cx="2176780"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47675"/>
                      </a:xfrm>
                      <a:prstGeom prst="rect">
                        <a:avLst/>
                      </a:prstGeom>
                      <a:solidFill>
                        <a:srgbClr val="FFFFFF"/>
                      </a:solidFill>
                      <a:ln w="9525">
                        <a:noFill/>
                        <a:miter lim="800000"/>
                        <a:headEnd/>
                        <a:tailEnd/>
                      </a:ln>
                    </wps:spPr>
                    <wps:txbx>
                      <w:txbxContent>
                        <w:p w14:paraId="6DD36749" w14:textId="7B14E303" w:rsidR="005D51D7" w:rsidRPr="005D51D7" w:rsidRDefault="005D51D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r w:rsidR="00C80831">
                            <w:rPr>
                              <w:b/>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8C14C" id="_x0000_t202" coordsize="21600,21600" o:spt="202" path="m,l,21600r21600,l21600,xe">
              <v:stroke joinstyle="miter"/>
              <v:path gradientshapeok="t" o:connecttype="rect"/>
            </v:shapetype>
            <v:shape id="_x0000_s1028" type="#_x0000_t202" style="position:absolute;margin-left:-16.15pt;margin-top:6.45pt;width:171.4pt;height:3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" stroked="f">
              <v:textbox>
                <w:txbxContent>
                  <w:p w14:paraId="6DD36749" w14:textId="7B14E303" w:rsidR="005D51D7" w:rsidRPr="005D51D7" w:rsidRDefault="005D51D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r w:rsidR="00C80831">
                      <w:rPr>
                        <w:b/>
                        <w:noProof/>
                      </w:rPr>
                      <w:t xml:space="preserve"> </w:t>
                    </w:r>
                  </w:p>
                </w:txbxContent>
              </v:textbox>
              <w10:wrap type="square" anchorx="margin"/>
            </v:shape>
          </w:pict>
        </mc:Fallback>
      </mc:AlternateContent>
    </w:r>
  </w:p>
  <w:p w14:paraId="450AE0C9" w14:textId="68FCABB3" w:rsidR="00777A00" w:rsidRPr="00C80831" w:rsidRDefault="00C80831" w:rsidP="006146D9">
    <w:pPr>
      <w:pStyle w:val="Footer"/>
      <w:ind w:left="-1620"/>
      <w:rPr>
        <w:i/>
        <w:iCs/>
      </w:rPr>
    </w:pPr>
    <w:r>
      <w:tab/>
    </w:r>
    <w:r>
      <w:tab/>
      <w:t xml:space="preserve">  </w:t>
    </w:r>
    <w:r w:rsidRPr="00C80831">
      <w:rPr>
        <w:i/>
        <w:iCs/>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4609" w14:textId="77777777" w:rsidR="007D1E16" w:rsidRDefault="007D1E16" w:rsidP="00EE1508">
      <w:pPr>
        <w:spacing w:after="0" w:line="240" w:lineRule="auto"/>
      </w:pPr>
      <w:r>
        <w:separator/>
      </w:r>
    </w:p>
  </w:footnote>
  <w:footnote w:type="continuationSeparator" w:id="0">
    <w:p w14:paraId="384949F4" w14:textId="77777777" w:rsidR="007D1E16" w:rsidRDefault="007D1E16" w:rsidP="00EE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5897" w14:textId="3BCF9094" w:rsidR="00EE1508" w:rsidRDefault="00B51CB9">
    <w:pPr>
      <w:pStyle w:val="Header"/>
    </w:pPr>
    <w:r>
      <w:rPr>
        <w:noProof/>
      </w:rPr>
      <mc:AlternateContent>
        <mc:Choice Requires="wps">
          <w:drawing>
            <wp:anchor distT="0" distB="0" distL="114300" distR="114300" simplePos="0" relativeHeight="251666432" behindDoc="0" locked="0" layoutInCell="1" allowOverlap="1" wp14:anchorId="10A2C8BE" wp14:editId="24EA580E">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7" type="#_x0000_t202" style="position:absolute;margin-left:205.8pt;margin-top:0;width:324pt;height:5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" fillcolor="white [3201]" stroked="f" strokeweight=".5pt">
              <v:textbo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End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26985"/>
    <w:multiLevelType w:val="hybridMultilevel"/>
    <w:tmpl w:val="273443A4"/>
    <w:lvl w:ilvl="0" w:tplc="B95EC45C">
      <w:start w:val="1"/>
      <w:numFmt w:val="bullet"/>
      <w:lvlText w:val=""/>
      <w:lvlJc w:val="left"/>
      <w:pPr>
        <w:ind w:left="1170" w:hanging="360"/>
      </w:pPr>
      <w:rPr>
        <w:rFonts w:ascii="Wingdings" w:hAnsi="Wingdings" w:hint="default"/>
        <w:color w:val="0071BC"/>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448F703B"/>
    <w:multiLevelType w:val="hybridMultilevel"/>
    <w:tmpl w:val="43044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C722D3"/>
    <w:multiLevelType w:val="hybridMultilevel"/>
    <w:tmpl w:val="56C8B61E"/>
    <w:lvl w:ilvl="0" w:tplc="3F425000">
      <w:start w:val="1"/>
      <w:numFmt w:val="decimal"/>
      <w:lvlText w:val="%1."/>
      <w:lvlJc w:val="left"/>
      <w:pPr>
        <w:ind w:left="1170" w:hanging="360"/>
      </w:pPr>
      <w:rPr>
        <w:rFonts w:hint="default"/>
        <w:b w:val="0"/>
        <w:i w:val="0"/>
        <w:color w:val="474747" w:themeColor="text1" w:themeShade="B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3A1210D"/>
    <w:multiLevelType w:val="hybridMultilevel"/>
    <w:tmpl w:val="31B66FAA"/>
    <w:lvl w:ilvl="0" w:tplc="B95EC45C">
      <w:start w:val="1"/>
      <w:numFmt w:val="bullet"/>
      <w:lvlText w:val=""/>
      <w:lvlJc w:val="left"/>
      <w:pPr>
        <w:ind w:left="1170" w:hanging="360"/>
      </w:pPr>
      <w:rPr>
        <w:rFonts w:ascii="Wingdings" w:hAnsi="Wingdings" w:hint="default"/>
        <w:color w:val="0071BC"/>
        <w:sz w:val="18"/>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4" w15:restartNumberingAfterBreak="0">
    <w:nsid w:val="67463710"/>
    <w:multiLevelType w:val="hybridMultilevel"/>
    <w:tmpl w:val="56C8B61E"/>
    <w:lvl w:ilvl="0" w:tplc="3F425000">
      <w:start w:val="1"/>
      <w:numFmt w:val="decimal"/>
      <w:lvlText w:val="%1."/>
      <w:lvlJc w:val="left"/>
      <w:pPr>
        <w:ind w:left="1170" w:hanging="360"/>
      </w:pPr>
      <w:rPr>
        <w:rFonts w:hint="default"/>
        <w:b w:val="0"/>
        <w:i w:val="0"/>
        <w:color w:val="474747" w:themeColor="text1" w:themeShade="B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1993F68"/>
    <w:multiLevelType w:val="hybridMultilevel"/>
    <w:tmpl w:val="4F5AAA2A"/>
    <w:lvl w:ilvl="0" w:tplc="B95EC45C">
      <w:start w:val="1"/>
      <w:numFmt w:val="bullet"/>
      <w:lvlText w:val=""/>
      <w:lvlJc w:val="left"/>
      <w:pPr>
        <w:ind w:left="1170" w:hanging="360"/>
      </w:pPr>
      <w:rPr>
        <w:rFonts w:ascii="Wingdings" w:hAnsi="Wingdings" w:hint="default"/>
        <w:color w:val="0071BC"/>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A6C46"/>
    <w:multiLevelType w:val="hybridMultilevel"/>
    <w:tmpl w:val="00423E94"/>
    <w:lvl w:ilvl="0" w:tplc="B95EC45C">
      <w:start w:val="1"/>
      <w:numFmt w:val="bullet"/>
      <w:lvlText w:val=""/>
      <w:lvlJc w:val="left"/>
      <w:pPr>
        <w:ind w:left="1170" w:hanging="360"/>
      </w:pPr>
      <w:rPr>
        <w:rFonts w:ascii="Wingdings" w:hAnsi="Wingdings" w:hint="default"/>
        <w:color w:val="0071BC"/>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FD73DD3"/>
    <w:multiLevelType w:val="hybridMultilevel"/>
    <w:tmpl w:val="550E4F80"/>
    <w:lvl w:ilvl="0" w:tplc="4E6628D8">
      <w:start w:val="1"/>
      <w:numFmt w:val="decimal"/>
      <w:lvlText w:val="%1."/>
      <w:lvlJc w:val="left"/>
      <w:pPr>
        <w:ind w:left="1080" w:hanging="360"/>
      </w:pPr>
      <w:rPr>
        <w:rFonts w:ascii="Arial Black" w:hAnsi="Arial Blac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6"/>
  </w:num>
  <w:num w:numId="4">
    <w:abstractNumId w:val="4"/>
  </w:num>
  <w:num w:numId="5">
    <w:abstractNumId w:val="5"/>
  </w:num>
  <w:num w:numId="6">
    <w:abstractNumId w:val="9"/>
  </w:num>
  <w:num w:numId="7">
    <w:abstractNumId w:val="2"/>
  </w:num>
  <w:num w:numId="8">
    <w:abstractNumId w:val="3"/>
  </w:num>
  <w:num w:numId="9">
    <w:abstractNumId w:val="18"/>
  </w:num>
  <w:num w:numId="10">
    <w:abstractNumId w:val="14"/>
  </w:num>
  <w:num w:numId="11">
    <w:abstractNumId w:val="17"/>
  </w:num>
  <w:num w:numId="12">
    <w:abstractNumId w:val="1"/>
  </w:num>
  <w:num w:numId="13">
    <w:abstractNumId w:val="15"/>
  </w:num>
  <w:num w:numId="14">
    <w:abstractNumId w:val="10"/>
  </w:num>
  <w:num w:numId="15">
    <w:abstractNumId w:val="11"/>
  </w:num>
  <w:num w:numId="16">
    <w:abstractNumId w:val="12"/>
  </w:num>
  <w:num w:numId="17">
    <w:abstractNumId w:val="19"/>
  </w:num>
  <w:num w:numId="18">
    <w:abstractNumId w:val="16"/>
  </w:num>
  <w:num w:numId="19">
    <w:abstractNumId w:val="0"/>
  </w:num>
  <w:num w:numId="20">
    <w:abstractNumId w:val="8"/>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B5032"/>
    <w:rsid w:val="000F1691"/>
    <w:rsid w:val="00125A21"/>
    <w:rsid w:val="001304A1"/>
    <w:rsid w:val="00131CAC"/>
    <w:rsid w:val="0016115D"/>
    <w:rsid w:val="0016627E"/>
    <w:rsid w:val="00173853"/>
    <w:rsid w:val="00194C42"/>
    <w:rsid w:val="001B0086"/>
    <w:rsid w:val="001D02C4"/>
    <w:rsid w:val="001D53F1"/>
    <w:rsid w:val="00212BF5"/>
    <w:rsid w:val="00232016"/>
    <w:rsid w:val="00233A1C"/>
    <w:rsid w:val="0023693D"/>
    <w:rsid w:val="00260049"/>
    <w:rsid w:val="002A2359"/>
    <w:rsid w:val="002A564A"/>
    <w:rsid w:val="002A5875"/>
    <w:rsid w:val="002E1625"/>
    <w:rsid w:val="002F21E1"/>
    <w:rsid w:val="003040CC"/>
    <w:rsid w:val="00340017"/>
    <w:rsid w:val="00383E5E"/>
    <w:rsid w:val="00394D83"/>
    <w:rsid w:val="003D43AA"/>
    <w:rsid w:val="00401F91"/>
    <w:rsid w:val="00454445"/>
    <w:rsid w:val="004B1DE7"/>
    <w:rsid w:val="004B4E13"/>
    <w:rsid w:val="00521D44"/>
    <w:rsid w:val="00531755"/>
    <w:rsid w:val="005523FE"/>
    <w:rsid w:val="005601E2"/>
    <w:rsid w:val="005C3F5D"/>
    <w:rsid w:val="005C3FD0"/>
    <w:rsid w:val="005D51D7"/>
    <w:rsid w:val="005D7E52"/>
    <w:rsid w:val="005F2161"/>
    <w:rsid w:val="006146D9"/>
    <w:rsid w:val="00696F14"/>
    <w:rsid w:val="006D2EEA"/>
    <w:rsid w:val="006F2D06"/>
    <w:rsid w:val="00705922"/>
    <w:rsid w:val="00757083"/>
    <w:rsid w:val="00777A00"/>
    <w:rsid w:val="007D1E16"/>
    <w:rsid w:val="007F4FEF"/>
    <w:rsid w:val="007F6B04"/>
    <w:rsid w:val="008114AD"/>
    <w:rsid w:val="008177AD"/>
    <w:rsid w:val="00832884"/>
    <w:rsid w:val="00865045"/>
    <w:rsid w:val="008968C7"/>
    <w:rsid w:val="008C356B"/>
    <w:rsid w:val="008D0BFE"/>
    <w:rsid w:val="00966590"/>
    <w:rsid w:val="00993424"/>
    <w:rsid w:val="009A4001"/>
    <w:rsid w:val="009F6DBC"/>
    <w:rsid w:val="00A053FD"/>
    <w:rsid w:val="00A16099"/>
    <w:rsid w:val="00A30CFE"/>
    <w:rsid w:val="00A404A3"/>
    <w:rsid w:val="00A47F01"/>
    <w:rsid w:val="00A569B5"/>
    <w:rsid w:val="00AA3645"/>
    <w:rsid w:val="00B126C6"/>
    <w:rsid w:val="00B12EE8"/>
    <w:rsid w:val="00B456DE"/>
    <w:rsid w:val="00B51CB9"/>
    <w:rsid w:val="00B60464"/>
    <w:rsid w:val="00B66A8F"/>
    <w:rsid w:val="00B94589"/>
    <w:rsid w:val="00BF4957"/>
    <w:rsid w:val="00C000F1"/>
    <w:rsid w:val="00C35EA8"/>
    <w:rsid w:val="00C56F9B"/>
    <w:rsid w:val="00C63EE4"/>
    <w:rsid w:val="00C705D6"/>
    <w:rsid w:val="00C80831"/>
    <w:rsid w:val="00CC041B"/>
    <w:rsid w:val="00CC0DDE"/>
    <w:rsid w:val="00CE3175"/>
    <w:rsid w:val="00D150D4"/>
    <w:rsid w:val="00D27F7C"/>
    <w:rsid w:val="00D508DB"/>
    <w:rsid w:val="00D82B5E"/>
    <w:rsid w:val="00DF4D0A"/>
    <w:rsid w:val="00E2698B"/>
    <w:rsid w:val="00E315FB"/>
    <w:rsid w:val="00E3325F"/>
    <w:rsid w:val="00E50212"/>
    <w:rsid w:val="00E5169F"/>
    <w:rsid w:val="00E61510"/>
    <w:rsid w:val="00E7691E"/>
    <w:rsid w:val="00E91F8D"/>
    <w:rsid w:val="00EE1508"/>
    <w:rsid w:val="00EF1C83"/>
    <w:rsid w:val="00F11CC8"/>
    <w:rsid w:val="00F15807"/>
    <w:rsid w:val="00F16566"/>
    <w:rsid w:val="00F1770A"/>
    <w:rsid w:val="00F570AD"/>
    <w:rsid w:val="00F861A0"/>
    <w:rsid w:val="00F960CB"/>
    <w:rsid w:val="00FA13EF"/>
    <w:rsid w:val="00FB2ED7"/>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character" w:styleId="Hyperlink">
    <w:name w:val="Hyperlink"/>
    <w:basedOn w:val="DefaultParagraphFont"/>
    <w:uiPriority w:val="99"/>
    <w:semiHidden/>
    <w:unhideWhenUsed/>
    <w:rsid w:val="00757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wada-am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FRelations@wada-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1BB2-7EC6-4DE4-8B2F-80769E2D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24</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Karine</cp:lastModifiedBy>
  <cp:revision>5</cp:revision>
  <dcterms:created xsi:type="dcterms:W3CDTF">2021-01-13T21:39:00Z</dcterms:created>
  <dcterms:modified xsi:type="dcterms:W3CDTF">2021-04-13T22:20:00Z</dcterms:modified>
</cp:coreProperties>
</file>