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985D" w14:textId="6B4A37AA" w:rsidR="0073175B" w:rsidRPr="007D1F47" w:rsidRDefault="00931548" w:rsidP="00545256">
      <w:pPr>
        <w:spacing w:after="0" w:line="240" w:lineRule="auto"/>
        <w:jc w:val="center"/>
        <w:rPr>
          <w:rFonts w:ascii="Arial" w:eastAsia="Verdana" w:hAnsi="Arial" w:cs="Arial"/>
          <w:b/>
          <w:sz w:val="24"/>
          <w:szCs w:val="24"/>
          <w:lang w:val="fr-CA"/>
        </w:rPr>
      </w:pPr>
      <w:r w:rsidRPr="007D1F47">
        <w:rPr>
          <w:rFonts w:ascii="Arial" w:eastAsia="Verdana" w:hAnsi="Arial" w:cs="Arial"/>
          <w:b/>
          <w:sz w:val="24"/>
          <w:szCs w:val="24"/>
          <w:lang w:val="fr-CA"/>
        </w:rPr>
        <w:t>Infertilit</w:t>
      </w:r>
      <w:r w:rsidR="007D1F47">
        <w:rPr>
          <w:rFonts w:ascii="Arial" w:eastAsia="Verdana" w:hAnsi="Arial" w:cs="Arial"/>
          <w:b/>
          <w:sz w:val="24"/>
          <w:szCs w:val="24"/>
          <w:lang w:val="fr-CA"/>
        </w:rPr>
        <w:t xml:space="preserve">é </w:t>
      </w:r>
      <w:r w:rsidR="00662AB2">
        <w:rPr>
          <w:rFonts w:ascii="Arial" w:eastAsia="Verdana" w:hAnsi="Arial" w:cs="Arial"/>
          <w:b/>
          <w:sz w:val="24"/>
          <w:szCs w:val="24"/>
          <w:lang w:val="fr-CA"/>
        </w:rPr>
        <w:t>féminine</w:t>
      </w:r>
    </w:p>
    <w:p w14:paraId="38811A9C" w14:textId="77777777" w:rsidR="00953E40" w:rsidRPr="007D1F47" w:rsidRDefault="00953E40" w:rsidP="00545256">
      <w:pPr>
        <w:spacing w:after="0" w:line="240" w:lineRule="auto"/>
        <w:jc w:val="center"/>
        <w:rPr>
          <w:rFonts w:ascii="Arial" w:eastAsia="Verdana" w:hAnsi="Arial" w:cs="Arial"/>
          <w:b/>
          <w:sz w:val="24"/>
          <w:szCs w:val="24"/>
          <w:highlight w:val="yellow"/>
          <w:lang w:val="fr-CA"/>
        </w:rPr>
      </w:pPr>
    </w:p>
    <w:p w14:paraId="350B0E69" w14:textId="540C0EB5" w:rsidR="00931548" w:rsidRPr="007D1F47" w:rsidRDefault="00953E40" w:rsidP="00545256">
      <w:pPr>
        <w:spacing w:after="0" w:line="240" w:lineRule="auto"/>
        <w:ind w:firstLine="270"/>
        <w:jc w:val="center"/>
        <w:rPr>
          <w:rFonts w:ascii="Arial" w:hAnsi="Arial" w:cs="Arial"/>
          <w:bCs/>
          <w:i/>
          <w:sz w:val="24"/>
          <w:szCs w:val="24"/>
          <w:lang w:val="fr-CA"/>
        </w:rPr>
      </w:pPr>
      <w:r w:rsidRPr="007D1F47">
        <w:rPr>
          <w:rFonts w:ascii="Arial" w:hAnsi="Arial" w:cs="Arial"/>
          <w:bCs/>
          <w:i/>
          <w:sz w:val="24"/>
          <w:szCs w:val="24"/>
          <w:lang w:val="fr-CA"/>
        </w:rPr>
        <w:t>Substances</w:t>
      </w:r>
      <w:r w:rsidR="007D1F47">
        <w:rPr>
          <w:rFonts w:ascii="Arial" w:hAnsi="Arial" w:cs="Arial"/>
          <w:bCs/>
          <w:i/>
          <w:sz w:val="24"/>
          <w:szCs w:val="24"/>
          <w:lang w:val="fr-CA"/>
        </w:rPr>
        <w:t xml:space="preserve"> interdites </w:t>
      </w:r>
      <w:r w:rsidRPr="007D1F47">
        <w:rPr>
          <w:rFonts w:ascii="Arial" w:hAnsi="Arial" w:cs="Arial"/>
          <w:bCs/>
          <w:i/>
          <w:sz w:val="24"/>
          <w:szCs w:val="24"/>
          <w:lang w:val="fr-CA"/>
        </w:rPr>
        <w:t>: clomi</w:t>
      </w:r>
      <w:r w:rsidR="007D1F47">
        <w:rPr>
          <w:rFonts w:ascii="Arial" w:hAnsi="Arial" w:cs="Arial"/>
          <w:bCs/>
          <w:i/>
          <w:sz w:val="24"/>
          <w:szCs w:val="24"/>
          <w:lang w:val="fr-CA"/>
        </w:rPr>
        <w:t>fè</w:t>
      </w:r>
      <w:r w:rsidRPr="007D1F47">
        <w:rPr>
          <w:rFonts w:ascii="Arial" w:hAnsi="Arial" w:cs="Arial"/>
          <w:bCs/>
          <w:i/>
          <w:sz w:val="24"/>
          <w:szCs w:val="24"/>
          <w:lang w:val="fr-CA"/>
        </w:rPr>
        <w:t xml:space="preserve">ne, </w:t>
      </w:r>
      <w:proofErr w:type="spellStart"/>
      <w:r w:rsidRPr="007D1F47">
        <w:rPr>
          <w:rFonts w:ascii="Arial" w:hAnsi="Arial" w:cs="Arial"/>
          <w:bCs/>
          <w:i/>
          <w:sz w:val="24"/>
          <w:szCs w:val="24"/>
          <w:lang w:val="fr-CA"/>
        </w:rPr>
        <w:t>l</w:t>
      </w:r>
      <w:r w:rsidR="007D1F47">
        <w:rPr>
          <w:rFonts w:ascii="Arial" w:hAnsi="Arial" w:cs="Arial"/>
          <w:bCs/>
          <w:i/>
          <w:sz w:val="24"/>
          <w:szCs w:val="24"/>
          <w:lang w:val="fr-CA"/>
        </w:rPr>
        <w:t>é</w:t>
      </w:r>
      <w:r w:rsidRPr="007D1F47">
        <w:rPr>
          <w:rFonts w:ascii="Arial" w:hAnsi="Arial" w:cs="Arial"/>
          <w:bCs/>
          <w:i/>
          <w:sz w:val="24"/>
          <w:szCs w:val="24"/>
          <w:lang w:val="fr-CA"/>
        </w:rPr>
        <w:t>trozole</w:t>
      </w:r>
      <w:proofErr w:type="spellEnd"/>
    </w:p>
    <w:p w14:paraId="6983A5A2" w14:textId="77777777" w:rsidR="00953E40" w:rsidRPr="007D1F47" w:rsidRDefault="00953E40" w:rsidP="00545256">
      <w:pPr>
        <w:spacing w:after="0" w:line="240" w:lineRule="auto"/>
        <w:ind w:firstLine="720"/>
        <w:rPr>
          <w:rFonts w:ascii="Arial" w:hAnsi="Arial" w:cs="Arial"/>
          <w:bCs/>
          <w:i/>
          <w:sz w:val="24"/>
          <w:szCs w:val="24"/>
          <w:lang w:val="fr-CA"/>
        </w:rPr>
      </w:pPr>
    </w:p>
    <w:p w14:paraId="08505B8C" w14:textId="77777777" w:rsidR="00953E40" w:rsidRPr="007D1F47" w:rsidRDefault="00953E40" w:rsidP="00545256">
      <w:pPr>
        <w:spacing w:after="0" w:line="240" w:lineRule="auto"/>
        <w:ind w:firstLine="720"/>
        <w:rPr>
          <w:rFonts w:ascii="Arial" w:eastAsia="Verdana" w:hAnsi="Arial" w:cs="Arial"/>
          <w:bCs/>
          <w:lang w:val="fr-CA"/>
        </w:rPr>
      </w:pPr>
    </w:p>
    <w:p w14:paraId="075B3715" w14:textId="4A824565" w:rsidR="0073175B" w:rsidRPr="007D1F47" w:rsidRDefault="00C308E9" w:rsidP="0054525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Verdana" w:hAnsi="Arial" w:cs="Arial"/>
          <w:b/>
          <w:color w:val="000000"/>
          <w:sz w:val="24"/>
          <w:szCs w:val="24"/>
          <w:lang w:val="fr-CA"/>
        </w:rPr>
      </w:pPr>
      <w:r w:rsidRP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Introduction</w:t>
      </w:r>
    </w:p>
    <w:p w14:paraId="515CDA53" w14:textId="77777777" w:rsidR="0073175B" w:rsidRPr="007D1F47" w:rsidRDefault="0073175B" w:rsidP="00545256">
      <w:pPr>
        <w:spacing w:after="0" w:line="240" w:lineRule="auto"/>
        <w:jc w:val="both"/>
        <w:rPr>
          <w:rFonts w:ascii="Arial" w:eastAsia="Verdana" w:hAnsi="Arial" w:cs="Arial"/>
          <w:b/>
          <w:lang w:val="fr-CA"/>
        </w:rPr>
      </w:pPr>
    </w:p>
    <w:p w14:paraId="723076BE" w14:textId="50DE5AED" w:rsidR="0073175B" w:rsidRPr="007D1F47" w:rsidRDefault="00256E78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L’infertilité est un état pathologique </w:t>
      </w:r>
      <w:r w:rsidR="00274D32">
        <w:rPr>
          <w:rFonts w:ascii="Arial" w:eastAsia="Verdana" w:hAnsi="Arial" w:cs="Arial"/>
          <w:lang w:val="fr-CA"/>
        </w:rPr>
        <w:t>défini par l’i</w:t>
      </w:r>
      <w:r w:rsidR="00F13FD6">
        <w:rPr>
          <w:rFonts w:ascii="Arial" w:eastAsia="Verdana" w:hAnsi="Arial" w:cs="Arial"/>
          <w:lang w:val="fr-CA"/>
        </w:rPr>
        <w:t xml:space="preserve">ncapacité à </w:t>
      </w:r>
      <w:r w:rsidR="00274D32">
        <w:rPr>
          <w:rFonts w:ascii="Arial" w:eastAsia="Verdana" w:hAnsi="Arial" w:cs="Arial"/>
          <w:lang w:val="fr-CA"/>
        </w:rPr>
        <w:t>obtenir</w:t>
      </w:r>
      <w:r>
        <w:rPr>
          <w:rFonts w:ascii="Arial" w:eastAsia="Verdana" w:hAnsi="Arial" w:cs="Arial"/>
          <w:lang w:val="fr-CA"/>
        </w:rPr>
        <w:t xml:space="preserve"> une grossesse clinique après au moins 12 mois de r</w:t>
      </w:r>
      <w:r w:rsidR="00274D32">
        <w:rPr>
          <w:rFonts w:ascii="Arial" w:eastAsia="Verdana" w:hAnsi="Arial" w:cs="Arial"/>
          <w:lang w:val="fr-CA"/>
        </w:rPr>
        <w:t>elations</w:t>
      </w:r>
      <w:r>
        <w:rPr>
          <w:rFonts w:ascii="Arial" w:eastAsia="Verdana" w:hAnsi="Arial" w:cs="Arial"/>
          <w:lang w:val="fr-CA"/>
        </w:rPr>
        <w:t xml:space="preserve"> sexuel</w:t>
      </w:r>
      <w:r w:rsidR="00274D32">
        <w:rPr>
          <w:rFonts w:ascii="Arial" w:eastAsia="Verdana" w:hAnsi="Arial" w:cs="Arial"/>
          <w:lang w:val="fr-CA"/>
        </w:rPr>
        <w:t xml:space="preserve">les régulières </w:t>
      </w:r>
      <w:r w:rsidR="00654870">
        <w:rPr>
          <w:rFonts w:ascii="Arial" w:eastAsia="Verdana" w:hAnsi="Arial" w:cs="Arial"/>
          <w:lang w:val="fr-CA"/>
        </w:rPr>
        <w:t>n</w:t>
      </w:r>
      <w:r>
        <w:rPr>
          <w:rFonts w:ascii="Arial" w:eastAsia="Verdana" w:hAnsi="Arial" w:cs="Arial"/>
          <w:lang w:val="fr-CA"/>
        </w:rPr>
        <w:t>on protégé</w:t>
      </w:r>
      <w:r w:rsidR="00274D32">
        <w:rPr>
          <w:rFonts w:ascii="Arial" w:eastAsia="Verdana" w:hAnsi="Arial" w:cs="Arial"/>
          <w:lang w:val="fr-CA"/>
        </w:rPr>
        <w:t>e</w:t>
      </w:r>
      <w:r>
        <w:rPr>
          <w:rFonts w:ascii="Arial" w:eastAsia="Verdana" w:hAnsi="Arial" w:cs="Arial"/>
          <w:lang w:val="fr-CA"/>
        </w:rPr>
        <w:t>s.</w:t>
      </w:r>
      <w:r w:rsidR="00265990" w:rsidRPr="007D1F47">
        <w:rPr>
          <w:rFonts w:ascii="Arial" w:eastAsia="Verdana" w:hAnsi="Arial" w:cs="Arial"/>
          <w:lang w:val="fr-CA"/>
        </w:rPr>
        <w:t xml:space="preserve"> </w:t>
      </w:r>
      <w:r>
        <w:rPr>
          <w:rFonts w:ascii="Arial" w:eastAsia="Verdana" w:hAnsi="Arial" w:cs="Arial"/>
          <w:lang w:val="fr-CA"/>
        </w:rPr>
        <w:t xml:space="preserve">On estime qu’environ 10 à 15 % des couples </w:t>
      </w:r>
      <w:r w:rsidR="00F13FD6">
        <w:rPr>
          <w:rFonts w:ascii="Arial" w:eastAsia="Verdana" w:hAnsi="Arial" w:cs="Arial"/>
          <w:lang w:val="fr-CA"/>
        </w:rPr>
        <w:t>o</w:t>
      </w:r>
      <w:r w:rsidR="00274D32">
        <w:rPr>
          <w:rFonts w:ascii="Arial" w:eastAsia="Verdana" w:hAnsi="Arial" w:cs="Arial"/>
          <w:lang w:val="fr-CA"/>
        </w:rPr>
        <w:t>nt</w:t>
      </w:r>
      <w:r>
        <w:rPr>
          <w:rFonts w:ascii="Arial" w:eastAsia="Verdana" w:hAnsi="Arial" w:cs="Arial"/>
          <w:lang w:val="fr-CA"/>
        </w:rPr>
        <w:t xml:space="preserve"> des problèmes d’infertilité. </w:t>
      </w:r>
    </w:p>
    <w:p w14:paraId="484859FF" w14:textId="77777777" w:rsidR="0073175B" w:rsidRPr="007D1F47" w:rsidRDefault="00265990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  <w:r w:rsidRPr="007D1F47">
        <w:rPr>
          <w:rFonts w:ascii="Arial" w:eastAsia="Verdana" w:hAnsi="Arial" w:cs="Arial"/>
          <w:lang w:val="fr-CA"/>
        </w:rPr>
        <w:t xml:space="preserve"> </w:t>
      </w:r>
    </w:p>
    <w:p w14:paraId="1AB178F6" w14:textId="6EA5C802" w:rsidR="0073175B" w:rsidRDefault="00547F98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Les </w:t>
      </w:r>
      <w:r w:rsidR="00274D32">
        <w:rPr>
          <w:rFonts w:ascii="Arial" w:eastAsia="Verdana" w:hAnsi="Arial" w:cs="Arial"/>
          <w:lang w:val="fr-CA"/>
        </w:rPr>
        <w:t xml:space="preserve">causes </w:t>
      </w:r>
      <w:r>
        <w:rPr>
          <w:rFonts w:ascii="Arial" w:eastAsia="Verdana" w:hAnsi="Arial" w:cs="Arial"/>
          <w:lang w:val="fr-CA"/>
        </w:rPr>
        <w:t xml:space="preserve">de </w:t>
      </w:r>
      <w:r w:rsidR="00274D32">
        <w:rPr>
          <w:rFonts w:ascii="Arial" w:eastAsia="Verdana" w:hAnsi="Arial" w:cs="Arial"/>
          <w:lang w:val="fr-CA"/>
        </w:rPr>
        <w:t>l’infertilité</w:t>
      </w:r>
      <w:r>
        <w:rPr>
          <w:rFonts w:ascii="Arial" w:eastAsia="Verdana" w:hAnsi="Arial" w:cs="Arial"/>
          <w:lang w:val="fr-CA"/>
        </w:rPr>
        <w:t xml:space="preserve"> sont très variées</w:t>
      </w:r>
      <w:r w:rsidR="00274D32">
        <w:rPr>
          <w:rFonts w:ascii="Arial" w:eastAsia="Verdana" w:hAnsi="Arial" w:cs="Arial"/>
          <w:lang w:val="fr-CA"/>
        </w:rPr>
        <w:t xml:space="preserve">. </w:t>
      </w:r>
      <w:r w:rsidR="00286DED">
        <w:rPr>
          <w:rFonts w:ascii="Arial" w:eastAsia="Verdana" w:hAnsi="Arial" w:cs="Arial"/>
          <w:lang w:val="fr-CA"/>
        </w:rPr>
        <w:t xml:space="preserve">De </w:t>
      </w:r>
      <w:r w:rsidR="00286DED" w:rsidRPr="00286DED">
        <w:rPr>
          <w:rFonts w:ascii="Arial" w:eastAsia="Verdana" w:hAnsi="Arial" w:cs="Arial"/>
          <w:lang w:val="fr-CA"/>
        </w:rPr>
        <w:t>façon générale, le problème provient de la femme chez un tiers des couples</w:t>
      </w:r>
      <w:r w:rsidR="007E2255">
        <w:rPr>
          <w:rFonts w:ascii="Arial" w:eastAsia="Verdana" w:hAnsi="Arial" w:cs="Arial"/>
          <w:lang w:val="fr-CA"/>
        </w:rPr>
        <w:t xml:space="preserve"> et </w:t>
      </w:r>
      <w:r w:rsidR="00286DED" w:rsidRPr="00286DED">
        <w:rPr>
          <w:rFonts w:ascii="Arial" w:eastAsia="Verdana" w:hAnsi="Arial" w:cs="Arial"/>
          <w:lang w:val="fr-CA"/>
        </w:rPr>
        <w:t>de l’homme chez un autre tiers</w:t>
      </w:r>
      <w:r w:rsidR="007E2255">
        <w:rPr>
          <w:rFonts w:ascii="Arial" w:eastAsia="Verdana" w:hAnsi="Arial" w:cs="Arial"/>
          <w:lang w:val="fr-CA"/>
        </w:rPr>
        <w:t>. Le reste des cas</w:t>
      </w:r>
      <w:r w:rsidR="00286DED">
        <w:rPr>
          <w:rFonts w:ascii="Arial" w:eastAsia="Verdana" w:hAnsi="Arial" w:cs="Arial"/>
          <w:lang w:val="fr-CA"/>
        </w:rPr>
        <w:t xml:space="preserve"> </w:t>
      </w:r>
      <w:r w:rsidRPr="00286DED">
        <w:rPr>
          <w:rFonts w:ascii="Arial" w:eastAsia="Verdana" w:hAnsi="Arial" w:cs="Arial"/>
          <w:lang w:val="fr-CA"/>
        </w:rPr>
        <w:t xml:space="preserve">concerne les deux </w:t>
      </w:r>
      <w:r w:rsidR="007E2255">
        <w:rPr>
          <w:rFonts w:ascii="Arial" w:eastAsia="Verdana" w:hAnsi="Arial" w:cs="Arial"/>
          <w:lang w:val="fr-CA"/>
        </w:rPr>
        <w:t>partenaires</w:t>
      </w:r>
      <w:r w:rsidRPr="00286DED">
        <w:rPr>
          <w:rFonts w:ascii="Arial" w:eastAsia="Verdana" w:hAnsi="Arial" w:cs="Arial"/>
          <w:lang w:val="fr-CA"/>
        </w:rPr>
        <w:t xml:space="preserve"> ou est </w:t>
      </w:r>
      <w:r w:rsidR="00BF2E36" w:rsidRPr="00286DED">
        <w:rPr>
          <w:rFonts w:ascii="Arial" w:eastAsia="Verdana" w:hAnsi="Arial" w:cs="Arial"/>
          <w:lang w:val="fr-CA"/>
        </w:rPr>
        <w:t>de</w:t>
      </w:r>
      <w:r w:rsidR="00301642" w:rsidRPr="00286DED">
        <w:rPr>
          <w:rFonts w:ascii="Arial" w:eastAsia="Verdana" w:hAnsi="Arial" w:cs="Arial"/>
          <w:lang w:val="fr-CA"/>
        </w:rPr>
        <w:t xml:space="preserve"> cause inconnue</w:t>
      </w:r>
      <w:r w:rsidR="00BF2E36" w:rsidRPr="00286DED">
        <w:rPr>
          <w:rFonts w:ascii="Arial" w:eastAsia="Verdana" w:hAnsi="Arial" w:cs="Arial"/>
          <w:lang w:val="fr-CA"/>
        </w:rPr>
        <w:t>.</w:t>
      </w:r>
      <w:r w:rsidR="007E2255">
        <w:rPr>
          <w:rFonts w:ascii="Arial" w:eastAsia="Verdana" w:hAnsi="Arial" w:cs="Arial"/>
          <w:lang w:val="fr-CA"/>
        </w:rPr>
        <w:t xml:space="preserve"> </w:t>
      </w:r>
      <w:r w:rsidR="0061079F" w:rsidRPr="00286DED">
        <w:rPr>
          <w:rFonts w:ascii="Arial" w:eastAsia="Verdana" w:hAnsi="Arial" w:cs="Arial"/>
          <w:lang w:val="fr-CA"/>
        </w:rPr>
        <w:t>L’i</w:t>
      </w:r>
      <w:r w:rsidR="00265990" w:rsidRPr="00286DED">
        <w:rPr>
          <w:rFonts w:ascii="Arial" w:eastAsia="Verdana" w:hAnsi="Arial" w:cs="Arial"/>
          <w:lang w:val="fr-CA"/>
        </w:rPr>
        <w:t>nfertilit</w:t>
      </w:r>
      <w:r w:rsidR="0061079F" w:rsidRPr="00286DED">
        <w:rPr>
          <w:rFonts w:ascii="Arial" w:eastAsia="Verdana" w:hAnsi="Arial" w:cs="Arial"/>
          <w:lang w:val="fr-CA"/>
        </w:rPr>
        <w:t xml:space="preserve">é est </w:t>
      </w:r>
      <w:r w:rsidR="007E2255">
        <w:rPr>
          <w:rFonts w:ascii="Arial" w:eastAsia="Verdana" w:hAnsi="Arial" w:cs="Arial"/>
          <w:lang w:val="fr-CA"/>
        </w:rPr>
        <w:t>habituellement</w:t>
      </w:r>
      <w:r w:rsidR="0061079F" w:rsidRPr="00286DED">
        <w:rPr>
          <w:rFonts w:ascii="Arial" w:eastAsia="Verdana" w:hAnsi="Arial" w:cs="Arial"/>
          <w:lang w:val="fr-CA"/>
        </w:rPr>
        <w:t xml:space="preserve"> un problème de couple. </w:t>
      </w:r>
      <w:r w:rsidR="007E2255">
        <w:rPr>
          <w:rFonts w:ascii="Arial" w:eastAsia="Verdana" w:hAnsi="Arial" w:cs="Arial"/>
          <w:lang w:val="fr-CA"/>
        </w:rPr>
        <w:t>Ainsi, la femme dont l</w:t>
      </w:r>
      <w:r w:rsidR="0061079F" w:rsidRPr="00286DED">
        <w:rPr>
          <w:rFonts w:ascii="Arial" w:eastAsia="Verdana" w:hAnsi="Arial" w:cs="Arial"/>
          <w:lang w:val="fr-CA"/>
        </w:rPr>
        <w:t xml:space="preserve">’infertilité </w:t>
      </w:r>
      <w:r w:rsidR="007E2255">
        <w:rPr>
          <w:rFonts w:ascii="Arial" w:eastAsia="Verdana" w:hAnsi="Arial" w:cs="Arial"/>
          <w:lang w:val="fr-CA"/>
        </w:rPr>
        <w:t>est du</w:t>
      </w:r>
      <w:r w:rsidR="00AD5319" w:rsidRPr="00286DED">
        <w:rPr>
          <w:rFonts w:ascii="Arial" w:eastAsia="Verdana" w:hAnsi="Arial" w:cs="Arial"/>
          <w:lang w:val="fr-CA"/>
        </w:rPr>
        <w:t>e à</w:t>
      </w:r>
      <w:r w:rsidR="00662AB2" w:rsidRPr="00286DED">
        <w:rPr>
          <w:rFonts w:ascii="Arial" w:eastAsia="Verdana" w:hAnsi="Arial" w:cs="Arial"/>
          <w:lang w:val="fr-CA"/>
        </w:rPr>
        <w:t xml:space="preserve"> un</w:t>
      </w:r>
      <w:r w:rsidR="00301642" w:rsidRPr="00286DED">
        <w:rPr>
          <w:rFonts w:ascii="Arial" w:eastAsia="Verdana" w:hAnsi="Arial" w:cs="Arial"/>
          <w:lang w:val="fr-CA"/>
        </w:rPr>
        <w:t xml:space="preserve"> </w:t>
      </w:r>
      <w:r w:rsidR="007E2255">
        <w:rPr>
          <w:rFonts w:ascii="Arial" w:eastAsia="Verdana" w:hAnsi="Arial" w:cs="Arial"/>
          <w:lang w:val="fr-CA"/>
        </w:rPr>
        <w:t xml:space="preserve">facteur </w:t>
      </w:r>
      <w:r w:rsidR="00301642" w:rsidRPr="00286DED">
        <w:rPr>
          <w:rFonts w:ascii="Arial" w:eastAsia="Verdana" w:hAnsi="Arial" w:cs="Arial"/>
          <w:lang w:val="fr-CA"/>
        </w:rPr>
        <w:t>qui touche</w:t>
      </w:r>
      <w:r w:rsidR="00301642">
        <w:rPr>
          <w:rFonts w:ascii="Arial" w:eastAsia="Verdana" w:hAnsi="Arial" w:cs="Arial"/>
          <w:lang w:val="fr-CA"/>
        </w:rPr>
        <w:t xml:space="preserve"> son partenaire</w:t>
      </w:r>
      <w:r w:rsidR="00662AB2">
        <w:rPr>
          <w:rFonts w:ascii="Arial" w:eastAsia="Verdana" w:hAnsi="Arial" w:cs="Arial"/>
          <w:lang w:val="fr-CA"/>
        </w:rPr>
        <w:t xml:space="preserve"> </w:t>
      </w:r>
      <w:r w:rsidR="00AD5319">
        <w:rPr>
          <w:rFonts w:ascii="Arial" w:eastAsia="Verdana" w:hAnsi="Arial" w:cs="Arial"/>
          <w:lang w:val="fr-CA"/>
        </w:rPr>
        <w:t xml:space="preserve">peut </w:t>
      </w:r>
      <w:r w:rsidR="007E2255">
        <w:rPr>
          <w:rFonts w:ascii="Arial" w:eastAsia="Verdana" w:hAnsi="Arial" w:cs="Arial"/>
          <w:lang w:val="fr-CA"/>
        </w:rPr>
        <w:t xml:space="preserve">être </w:t>
      </w:r>
      <w:r w:rsidR="00AD5319">
        <w:rPr>
          <w:rFonts w:ascii="Arial" w:eastAsia="Verdana" w:hAnsi="Arial" w:cs="Arial"/>
          <w:lang w:val="fr-CA"/>
        </w:rPr>
        <w:t>contrain</w:t>
      </w:r>
      <w:r w:rsidR="007E2255">
        <w:rPr>
          <w:rFonts w:ascii="Arial" w:eastAsia="Verdana" w:hAnsi="Arial" w:cs="Arial"/>
          <w:lang w:val="fr-CA"/>
        </w:rPr>
        <w:t>te de</w:t>
      </w:r>
      <w:r w:rsidR="00662AB2">
        <w:rPr>
          <w:rFonts w:ascii="Arial" w:eastAsia="Verdana" w:hAnsi="Arial" w:cs="Arial"/>
          <w:lang w:val="fr-CA"/>
        </w:rPr>
        <w:t xml:space="preserve"> </w:t>
      </w:r>
      <w:r w:rsidR="00AD5319">
        <w:rPr>
          <w:rFonts w:ascii="Arial" w:eastAsia="Verdana" w:hAnsi="Arial" w:cs="Arial"/>
          <w:lang w:val="fr-CA"/>
        </w:rPr>
        <w:t>suivre</w:t>
      </w:r>
      <w:r w:rsidR="00662AB2">
        <w:rPr>
          <w:rFonts w:ascii="Arial" w:eastAsia="Verdana" w:hAnsi="Arial" w:cs="Arial"/>
          <w:lang w:val="fr-CA"/>
        </w:rPr>
        <w:t xml:space="preserve"> des traitements, même si elle est en bonne santé et</w:t>
      </w:r>
      <w:r w:rsidR="00AD5319">
        <w:rPr>
          <w:rFonts w:ascii="Arial" w:eastAsia="Verdana" w:hAnsi="Arial" w:cs="Arial"/>
          <w:lang w:val="fr-CA"/>
        </w:rPr>
        <w:t xml:space="preserve"> ne présente </w:t>
      </w:r>
      <w:r w:rsidR="007E2255">
        <w:rPr>
          <w:rFonts w:ascii="Arial" w:eastAsia="Verdana" w:hAnsi="Arial" w:cs="Arial"/>
          <w:lang w:val="fr-CA"/>
        </w:rPr>
        <w:t xml:space="preserve">elle-même </w:t>
      </w:r>
      <w:r w:rsidR="00AD5319">
        <w:rPr>
          <w:rFonts w:ascii="Arial" w:eastAsia="Verdana" w:hAnsi="Arial" w:cs="Arial"/>
          <w:lang w:val="fr-CA"/>
        </w:rPr>
        <w:t>aucun trouble connu.</w:t>
      </w:r>
    </w:p>
    <w:p w14:paraId="33AB534E" w14:textId="77777777" w:rsidR="007E2255" w:rsidRPr="007D1F47" w:rsidRDefault="007E2255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</w:p>
    <w:p w14:paraId="5A91D73C" w14:textId="7A36F36C" w:rsidR="0073175B" w:rsidRPr="007D1F47" w:rsidRDefault="00AD5319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>L’infertilité féminine peut être la conséquence d’un dysfonction</w:t>
      </w:r>
      <w:r w:rsidR="006F5838">
        <w:rPr>
          <w:rFonts w:ascii="Arial" w:eastAsia="Verdana" w:hAnsi="Arial" w:cs="Arial"/>
          <w:lang w:val="fr-CA"/>
        </w:rPr>
        <w:t>nement</w:t>
      </w:r>
      <w:r>
        <w:rPr>
          <w:rFonts w:ascii="Arial" w:eastAsia="Verdana" w:hAnsi="Arial" w:cs="Arial"/>
          <w:lang w:val="fr-CA"/>
        </w:rPr>
        <w:t xml:space="preserve"> ovulatoire, d’une occlusion des trompes de Fallope, d’une endométriose, d’anomali</w:t>
      </w:r>
      <w:r w:rsidR="00265990" w:rsidRPr="007D1F47">
        <w:rPr>
          <w:rFonts w:ascii="Arial" w:eastAsia="Verdana" w:hAnsi="Arial" w:cs="Arial"/>
          <w:lang w:val="fr-CA"/>
        </w:rPr>
        <w:t>es</w:t>
      </w:r>
      <w:r>
        <w:rPr>
          <w:rFonts w:ascii="Arial" w:eastAsia="Verdana" w:hAnsi="Arial" w:cs="Arial"/>
          <w:lang w:val="fr-CA"/>
        </w:rPr>
        <w:t xml:space="preserve"> utérines ou cervicales</w:t>
      </w:r>
      <w:r w:rsidR="00C902B5">
        <w:rPr>
          <w:rFonts w:ascii="Arial" w:eastAsia="Verdana" w:hAnsi="Arial" w:cs="Arial"/>
          <w:lang w:val="fr-CA"/>
        </w:rPr>
        <w:t>, ou n’avoir aucune cause apparente.</w:t>
      </w:r>
      <w:r w:rsidR="0067683F">
        <w:rPr>
          <w:rFonts w:ascii="Arial" w:eastAsia="Verdana" w:hAnsi="Arial" w:cs="Arial"/>
          <w:lang w:val="fr-CA"/>
        </w:rPr>
        <w:t xml:space="preserve"> L</w:t>
      </w:r>
      <w:r w:rsidR="006F5838">
        <w:rPr>
          <w:rFonts w:ascii="Arial" w:eastAsia="Verdana" w:hAnsi="Arial" w:cs="Arial"/>
          <w:lang w:val="fr-CA"/>
        </w:rPr>
        <w:t>e</w:t>
      </w:r>
      <w:r w:rsidR="00C902B5">
        <w:rPr>
          <w:rFonts w:ascii="Arial" w:eastAsia="Verdana" w:hAnsi="Arial" w:cs="Arial"/>
          <w:lang w:val="fr-CA"/>
        </w:rPr>
        <w:t xml:space="preserve"> </w:t>
      </w:r>
      <w:r w:rsidR="00C902B5" w:rsidRPr="00C902B5">
        <w:rPr>
          <w:rFonts w:ascii="Arial" w:eastAsia="Verdana" w:hAnsi="Arial" w:cs="Arial"/>
          <w:lang w:val="fr-CA"/>
        </w:rPr>
        <w:t>dysfonction</w:t>
      </w:r>
      <w:r w:rsidR="006F5838">
        <w:rPr>
          <w:rFonts w:ascii="Arial" w:eastAsia="Verdana" w:hAnsi="Arial" w:cs="Arial"/>
          <w:lang w:val="fr-CA"/>
        </w:rPr>
        <w:t>nement</w:t>
      </w:r>
      <w:r w:rsidR="00C902B5" w:rsidRPr="00C902B5">
        <w:rPr>
          <w:rFonts w:ascii="Arial" w:eastAsia="Verdana" w:hAnsi="Arial" w:cs="Arial"/>
          <w:lang w:val="fr-CA"/>
        </w:rPr>
        <w:t xml:space="preserve"> ovulatoire peut </w:t>
      </w:r>
      <w:r w:rsidR="0067683F">
        <w:rPr>
          <w:rFonts w:ascii="Arial" w:eastAsia="Verdana" w:hAnsi="Arial" w:cs="Arial"/>
          <w:lang w:val="fr-CA"/>
        </w:rPr>
        <w:t xml:space="preserve">quant à </w:t>
      </w:r>
      <w:r w:rsidR="001B4660">
        <w:rPr>
          <w:rFonts w:ascii="Arial" w:eastAsia="Verdana" w:hAnsi="Arial" w:cs="Arial"/>
          <w:lang w:val="fr-CA"/>
        </w:rPr>
        <w:t>lui</w:t>
      </w:r>
      <w:r w:rsidR="0067683F">
        <w:rPr>
          <w:rFonts w:ascii="Arial" w:eastAsia="Verdana" w:hAnsi="Arial" w:cs="Arial"/>
          <w:lang w:val="fr-CA"/>
        </w:rPr>
        <w:t xml:space="preserve"> </w:t>
      </w:r>
      <w:r w:rsidR="00C902B5" w:rsidRPr="00C902B5">
        <w:rPr>
          <w:rFonts w:ascii="Arial" w:eastAsia="Verdana" w:hAnsi="Arial" w:cs="Arial"/>
          <w:lang w:val="fr-CA"/>
        </w:rPr>
        <w:t xml:space="preserve">être </w:t>
      </w:r>
      <w:r w:rsidR="00C902B5">
        <w:rPr>
          <w:rFonts w:ascii="Arial" w:eastAsia="Verdana" w:hAnsi="Arial" w:cs="Arial"/>
          <w:lang w:val="fr-CA"/>
        </w:rPr>
        <w:t>causé par un</w:t>
      </w:r>
      <w:r w:rsidR="006F5838">
        <w:rPr>
          <w:rFonts w:ascii="Arial" w:eastAsia="Verdana" w:hAnsi="Arial" w:cs="Arial"/>
          <w:lang w:val="fr-CA"/>
        </w:rPr>
        <w:t xml:space="preserve"> trouble </w:t>
      </w:r>
      <w:r w:rsidR="00C902B5">
        <w:rPr>
          <w:rFonts w:ascii="Arial" w:eastAsia="Verdana" w:hAnsi="Arial" w:cs="Arial"/>
          <w:lang w:val="fr-CA"/>
        </w:rPr>
        <w:t xml:space="preserve">hypothalamique, un </w:t>
      </w:r>
      <w:r w:rsidR="00C902B5" w:rsidRPr="00C902B5">
        <w:rPr>
          <w:rFonts w:ascii="Arial" w:eastAsia="Verdana" w:hAnsi="Arial" w:cs="Arial"/>
          <w:lang w:val="fr-CA"/>
        </w:rPr>
        <w:t>syndrome des ovaires polykystiques</w:t>
      </w:r>
      <w:r w:rsidR="00C902B5">
        <w:rPr>
          <w:rFonts w:ascii="Arial" w:eastAsia="Verdana" w:hAnsi="Arial" w:cs="Arial"/>
          <w:lang w:val="fr-CA"/>
        </w:rPr>
        <w:t xml:space="preserve"> (</w:t>
      </w:r>
      <w:r w:rsidR="00C902B5" w:rsidRPr="00C902B5">
        <w:rPr>
          <w:rFonts w:ascii="Arial" w:eastAsia="Verdana" w:hAnsi="Arial" w:cs="Arial"/>
          <w:lang w:val="fr-CA"/>
        </w:rPr>
        <w:t>SOP</w:t>
      </w:r>
      <w:r w:rsidR="00C902B5">
        <w:rPr>
          <w:rFonts w:ascii="Arial" w:eastAsia="Verdana" w:hAnsi="Arial" w:cs="Arial"/>
          <w:lang w:val="fr-CA"/>
        </w:rPr>
        <w:t>)</w:t>
      </w:r>
      <w:r w:rsidR="00C902B5" w:rsidRPr="00C902B5">
        <w:rPr>
          <w:rFonts w:ascii="Arial" w:eastAsia="Verdana" w:hAnsi="Arial" w:cs="Arial"/>
          <w:lang w:val="fr-CA"/>
        </w:rPr>
        <w:t>,</w:t>
      </w:r>
      <w:r w:rsidR="00C902B5">
        <w:rPr>
          <w:rFonts w:ascii="Arial" w:eastAsia="Verdana" w:hAnsi="Arial" w:cs="Arial"/>
          <w:lang w:val="fr-CA"/>
        </w:rPr>
        <w:t xml:space="preserve"> une </w:t>
      </w:r>
      <w:r w:rsidR="00C902B5" w:rsidRPr="00C902B5">
        <w:rPr>
          <w:rFonts w:ascii="Arial" w:eastAsia="Verdana" w:hAnsi="Arial" w:cs="Arial"/>
          <w:lang w:val="fr-CA"/>
        </w:rPr>
        <w:t xml:space="preserve">hyperprolactinémie, </w:t>
      </w:r>
      <w:r w:rsidR="00C902B5">
        <w:rPr>
          <w:rFonts w:ascii="Arial" w:eastAsia="Verdana" w:hAnsi="Arial" w:cs="Arial"/>
          <w:lang w:val="fr-CA"/>
        </w:rPr>
        <w:t xml:space="preserve">un </w:t>
      </w:r>
      <w:r w:rsidR="00C902B5" w:rsidRPr="00C902B5">
        <w:rPr>
          <w:rFonts w:ascii="Arial" w:eastAsia="Verdana" w:hAnsi="Arial" w:cs="Arial"/>
          <w:lang w:val="fr-CA"/>
        </w:rPr>
        <w:t>dysfonction</w:t>
      </w:r>
      <w:r w:rsidR="001B4660">
        <w:rPr>
          <w:rFonts w:ascii="Arial" w:eastAsia="Verdana" w:hAnsi="Arial" w:cs="Arial"/>
          <w:lang w:val="fr-CA"/>
        </w:rPr>
        <w:t>nement</w:t>
      </w:r>
      <w:r w:rsidR="00C902B5" w:rsidRPr="00C902B5">
        <w:rPr>
          <w:rFonts w:ascii="Arial" w:eastAsia="Verdana" w:hAnsi="Arial" w:cs="Arial"/>
          <w:lang w:val="fr-CA"/>
        </w:rPr>
        <w:t xml:space="preserve"> thyroïdien</w:t>
      </w:r>
      <w:r w:rsidR="001B4660">
        <w:rPr>
          <w:rFonts w:ascii="Arial" w:eastAsia="Verdana" w:hAnsi="Arial" w:cs="Arial"/>
          <w:lang w:val="fr-CA"/>
        </w:rPr>
        <w:t xml:space="preserve"> o</w:t>
      </w:r>
      <w:r w:rsidR="00C902B5" w:rsidRPr="00C902B5">
        <w:rPr>
          <w:rFonts w:ascii="Arial" w:eastAsia="Verdana" w:hAnsi="Arial" w:cs="Arial"/>
          <w:lang w:val="fr-CA"/>
        </w:rPr>
        <w:t xml:space="preserve">u </w:t>
      </w:r>
      <w:r w:rsidR="00C902B5">
        <w:rPr>
          <w:rFonts w:ascii="Arial" w:eastAsia="Verdana" w:hAnsi="Arial" w:cs="Arial"/>
          <w:lang w:val="fr-CA"/>
        </w:rPr>
        <w:t xml:space="preserve">une </w:t>
      </w:r>
      <w:r w:rsidR="00C902B5" w:rsidRPr="00C902B5">
        <w:rPr>
          <w:rFonts w:ascii="Arial" w:eastAsia="Verdana" w:hAnsi="Arial" w:cs="Arial"/>
          <w:lang w:val="fr-CA"/>
        </w:rPr>
        <w:t>insuffisance ovarienne</w:t>
      </w:r>
      <w:r w:rsidR="00C902B5">
        <w:rPr>
          <w:rFonts w:ascii="Arial" w:eastAsia="Verdana" w:hAnsi="Arial" w:cs="Arial"/>
          <w:lang w:val="fr-CA"/>
        </w:rPr>
        <w:t xml:space="preserve"> prématurée (IOP</w:t>
      </w:r>
      <w:r w:rsidR="00C902B5" w:rsidRPr="00C902B5">
        <w:rPr>
          <w:rFonts w:ascii="Arial" w:eastAsia="Verdana" w:hAnsi="Arial" w:cs="Arial"/>
          <w:lang w:val="fr-CA"/>
        </w:rPr>
        <w:t>).</w:t>
      </w:r>
      <w:r w:rsidR="00C902B5">
        <w:rPr>
          <w:rFonts w:ascii="Arial" w:eastAsia="Verdana" w:hAnsi="Arial" w:cs="Arial"/>
          <w:lang w:val="fr-CA"/>
        </w:rPr>
        <w:t xml:space="preserve"> </w:t>
      </w:r>
    </w:p>
    <w:p w14:paraId="27FAFBB4" w14:textId="1E0E0853" w:rsidR="0073175B" w:rsidRPr="007D1F47" w:rsidRDefault="0073175B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</w:p>
    <w:p w14:paraId="6296F93D" w14:textId="6F141CA7" w:rsidR="0073175B" w:rsidRPr="007D1F47" w:rsidRDefault="00C902B5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Seules les causes d’infertilité féminine exigeant une AUT sont abordées dans le présent document. </w:t>
      </w:r>
      <w:r w:rsidR="001B4660">
        <w:rPr>
          <w:rFonts w:ascii="Arial" w:eastAsia="Verdana" w:hAnsi="Arial" w:cs="Arial"/>
          <w:lang w:val="fr-CA"/>
        </w:rPr>
        <w:t>L</w:t>
      </w:r>
      <w:r w:rsidR="005B7607">
        <w:rPr>
          <w:rFonts w:ascii="Arial" w:eastAsia="Verdana" w:hAnsi="Arial" w:cs="Arial"/>
          <w:lang w:val="fr-CA"/>
        </w:rPr>
        <w:t xml:space="preserve">e traitement du SOP lié à l’infertilité </w:t>
      </w:r>
      <w:r w:rsidR="001B4660">
        <w:rPr>
          <w:rFonts w:ascii="Arial" w:eastAsia="Verdana" w:hAnsi="Arial" w:cs="Arial"/>
          <w:lang w:val="fr-CA"/>
        </w:rPr>
        <w:t>fait l’objet de lignes directrices distinctes</w:t>
      </w:r>
      <w:r w:rsidR="00265990" w:rsidRPr="007D1F47">
        <w:rPr>
          <w:rFonts w:ascii="Arial" w:eastAsia="Verdana" w:hAnsi="Arial" w:cs="Arial"/>
          <w:lang w:val="fr-CA"/>
        </w:rPr>
        <w:t>.</w:t>
      </w:r>
    </w:p>
    <w:p w14:paraId="54E472A0" w14:textId="77777777" w:rsidR="0073175B" w:rsidRPr="007D1F47" w:rsidRDefault="0073175B" w:rsidP="00545256">
      <w:pPr>
        <w:spacing w:after="0" w:line="240" w:lineRule="auto"/>
        <w:jc w:val="both"/>
        <w:rPr>
          <w:rFonts w:ascii="Arial" w:eastAsia="Verdana" w:hAnsi="Arial" w:cs="Arial"/>
          <w:lang w:val="fr-CA"/>
        </w:rPr>
      </w:pPr>
    </w:p>
    <w:p w14:paraId="5B0E3951" w14:textId="02AD1B65" w:rsidR="0073175B" w:rsidRPr="007D1F47" w:rsidRDefault="0073175B" w:rsidP="00545256">
      <w:pPr>
        <w:tabs>
          <w:tab w:val="left" w:pos="2868"/>
        </w:tabs>
        <w:spacing w:after="0" w:line="240" w:lineRule="auto"/>
        <w:jc w:val="both"/>
        <w:rPr>
          <w:rFonts w:ascii="Arial" w:eastAsia="Verdana" w:hAnsi="Arial" w:cs="Arial"/>
          <w:lang w:val="fr-CA"/>
        </w:rPr>
      </w:pPr>
    </w:p>
    <w:p w14:paraId="4BB9C66C" w14:textId="29FB432F" w:rsidR="0073175B" w:rsidRPr="007D1F47" w:rsidRDefault="00265990" w:rsidP="0054525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Verdana" w:hAnsi="Arial" w:cs="Arial"/>
          <w:b/>
          <w:color w:val="000000"/>
          <w:lang w:val="fr-CA"/>
        </w:rPr>
      </w:pPr>
      <w:r w:rsidRP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Diagnos</w:t>
      </w:r>
      <w:r w:rsid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tic</w:t>
      </w:r>
    </w:p>
    <w:p w14:paraId="30FDE996" w14:textId="77777777" w:rsidR="0073175B" w:rsidRPr="007D1F47" w:rsidRDefault="0073175B" w:rsidP="00545256">
      <w:pPr>
        <w:spacing w:after="0" w:line="240" w:lineRule="auto"/>
        <w:jc w:val="both"/>
        <w:rPr>
          <w:rFonts w:ascii="Arial" w:eastAsia="Verdana" w:hAnsi="Arial" w:cs="Arial"/>
          <w:b/>
          <w:lang w:val="fr-CA"/>
        </w:rPr>
      </w:pPr>
    </w:p>
    <w:p w14:paraId="3344B412" w14:textId="0EB32225" w:rsidR="00AF746B" w:rsidRPr="007D1F47" w:rsidRDefault="007D1F47" w:rsidP="0054525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color w:val="000000"/>
          <w:lang w:val="fr-CA"/>
        </w:rPr>
      </w:pPr>
      <w:r>
        <w:rPr>
          <w:rFonts w:ascii="Arial" w:eastAsia="Verdana" w:hAnsi="Arial" w:cs="Arial"/>
          <w:b/>
          <w:lang w:val="fr-CA"/>
        </w:rPr>
        <w:t>Antécédents médicaux</w:t>
      </w:r>
    </w:p>
    <w:p w14:paraId="6DBCDCAB" w14:textId="77777777" w:rsidR="00AF746B" w:rsidRPr="007D1F47" w:rsidRDefault="00AF746B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rFonts w:ascii="Arial" w:eastAsia="Verdana" w:hAnsi="Arial" w:cs="Arial"/>
          <w:color w:val="000000"/>
          <w:lang w:val="fr-CA"/>
        </w:rPr>
      </w:pPr>
    </w:p>
    <w:p w14:paraId="016A8CED" w14:textId="6E1A0712" w:rsidR="00AF746B" w:rsidRPr="007D1F47" w:rsidRDefault="00F403F4" w:rsidP="00545256">
      <w:pPr>
        <w:spacing w:after="0" w:line="240" w:lineRule="auto"/>
        <w:ind w:left="72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>L</w:t>
      </w:r>
      <w:r w:rsidR="00FF38F2">
        <w:rPr>
          <w:rFonts w:ascii="Arial" w:eastAsia="Verdana" w:hAnsi="Arial" w:cs="Arial"/>
          <w:lang w:val="fr-CA"/>
        </w:rPr>
        <w:t xml:space="preserve">’établissement des antécédents médicaux </w:t>
      </w:r>
      <w:r>
        <w:rPr>
          <w:rFonts w:ascii="Arial" w:eastAsia="Verdana" w:hAnsi="Arial" w:cs="Arial"/>
          <w:lang w:val="fr-CA"/>
        </w:rPr>
        <w:t>de la femme compren</w:t>
      </w:r>
      <w:r w:rsidR="00FF38F2">
        <w:rPr>
          <w:rFonts w:ascii="Arial" w:eastAsia="Verdana" w:hAnsi="Arial" w:cs="Arial"/>
          <w:lang w:val="fr-CA"/>
        </w:rPr>
        <w:t>d</w:t>
      </w:r>
      <w:r>
        <w:rPr>
          <w:rFonts w:ascii="Arial" w:eastAsia="Verdana" w:hAnsi="Arial" w:cs="Arial"/>
          <w:lang w:val="fr-CA"/>
        </w:rPr>
        <w:t xml:space="preserve"> </w:t>
      </w:r>
      <w:r w:rsidR="00FF38F2">
        <w:rPr>
          <w:rFonts w:ascii="Arial" w:eastAsia="Verdana" w:hAnsi="Arial" w:cs="Arial"/>
          <w:lang w:val="fr-CA"/>
        </w:rPr>
        <w:t>généralement</w:t>
      </w:r>
      <w:r>
        <w:rPr>
          <w:rFonts w:ascii="Arial" w:eastAsia="Verdana" w:hAnsi="Arial" w:cs="Arial"/>
          <w:lang w:val="fr-CA"/>
        </w:rPr>
        <w:t xml:space="preserve"> des </w:t>
      </w:r>
      <w:r w:rsidR="001962AA">
        <w:rPr>
          <w:rFonts w:ascii="Arial" w:eastAsia="Verdana" w:hAnsi="Arial" w:cs="Arial"/>
          <w:lang w:val="fr-CA"/>
        </w:rPr>
        <w:t xml:space="preserve">précisions </w:t>
      </w:r>
      <w:r>
        <w:rPr>
          <w:rFonts w:ascii="Arial" w:eastAsia="Verdana" w:hAnsi="Arial" w:cs="Arial"/>
          <w:lang w:val="fr-CA"/>
        </w:rPr>
        <w:t xml:space="preserve">sur la régularité et la durée </w:t>
      </w:r>
      <w:r w:rsidR="00FD7F56">
        <w:rPr>
          <w:rFonts w:ascii="Arial" w:eastAsia="Verdana" w:hAnsi="Arial" w:cs="Arial"/>
          <w:lang w:val="fr-CA"/>
        </w:rPr>
        <w:t>du</w:t>
      </w:r>
      <w:r>
        <w:rPr>
          <w:rFonts w:ascii="Arial" w:eastAsia="Verdana" w:hAnsi="Arial" w:cs="Arial"/>
          <w:lang w:val="fr-CA"/>
        </w:rPr>
        <w:t xml:space="preserve"> cycle menstruel, </w:t>
      </w:r>
      <w:r w:rsidR="00FD7F56">
        <w:rPr>
          <w:rFonts w:ascii="Arial" w:eastAsia="Verdana" w:hAnsi="Arial" w:cs="Arial"/>
          <w:lang w:val="fr-CA"/>
        </w:rPr>
        <w:t>les</w:t>
      </w:r>
      <w:r w:rsidR="001962AA">
        <w:rPr>
          <w:rFonts w:ascii="Arial" w:eastAsia="Verdana" w:hAnsi="Arial" w:cs="Arial"/>
          <w:lang w:val="fr-CA"/>
        </w:rPr>
        <w:t xml:space="preserve"> antécédents de grossesse ou de fausses couches, les </w:t>
      </w:r>
      <w:r w:rsidR="00FF38F2">
        <w:rPr>
          <w:rFonts w:ascii="Arial" w:eastAsia="Verdana" w:hAnsi="Arial" w:cs="Arial"/>
          <w:lang w:val="fr-CA"/>
        </w:rPr>
        <w:t>maladies</w:t>
      </w:r>
      <w:r w:rsidR="001962AA">
        <w:rPr>
          <w:rFonts w:ascii="Arial" w:eastAsia="Verdana" w:hAnsi="Arial" w:cs="Arial"/>
          <w:lang w:val="fr-CA"/>
        </w:rPr>
        <w:t xml:space="preserve"> transmissibles</w:t>
      </w:r>
      <w:r w:rsidR="00984FB9" w:rsidRPr="00984FB9">
        <w:rPr>
          <w:rFonts w:ascii="Arial" w:eastAsia="Verdana" w:hAnsi="Arial" w:cs="Arial"/>
          <w:lang w:val="fr-CA"/>
        </w:rPr>
        <w:t xml:space="preserve"> </w:t>
      </w:r>
      <w:r w:rsidR="00984FB9">
        <w:rPr>
          <w:rFonts w:ascii="Arial" w:eastAsia="Verdana" w:hAnsi="Arial" w:cs="Arial"/>
          <w:lang w:val="fr-CA"/>
        </w:rPr>
        <w:t>sexuellement</w:t>
      </w:r>
      <w:r w:rsidR="00AF746B" w:rsidRPr="007D1F47">
        <w:rPr>
          <w:rFonts w:ascii="Arial" w:eastAsia="Verdana" w:hAnsi="Arial" w:cs="Arial"/>
          <w:lang w:val="fr-CA"/>
        </w:rPr>
        <w:t>,</w:t>
      </w:r>
      <w:r w:rsidR="00FD7F56">
        <w:rPr>
          <w:rFonts w:ascii="Arial" w:eastAsia="Verdana" w:hAnsi="Arial" w:cs="Arial"/>
          <w:lang w:val="fr-CA"/>
        </w:rPr>
        <w:t xml:space="preserve"> les interventions chirurgicales ou les affections gynécologiques</w:t>
      </w:r>
      <w:r w:rsidR="00AF746B" w:rsidRPr="007D1F47">
        <w:rPr>
          <w:rFonts w:ascii="Arial" w:eastAsia="Verdana" w:hAnsi="Arial" w:cs="Arial"/>
          <w:lang w:val="fr-CA"/>
        </w:rPr>
        <w:t>.</w:t>
      </w:r>
      <w:r w:rsidR="00984FB9">
        <w:rPr>
          <w:rFonts w:ascii="Arial" w:eastAsia="Verdana" w:hAnsi="Arial" w:cs="Arial"/>
          <w:lang w:val="fr-CA"/>
        </w:rPr>
        <w:t xml:space="preserve"> L</w:t>
      </w:r>
      <w:r w:rsidR="00160889">
        <w:rPr>
          <w:rFonts w:ascii="Arial" w:eastAsia="Verdana" w:hAnsi="Arial" w:cs="Arial"/>
          <w:lang w:val="fr-CA"/>
        </w:rPr>
        <w:t>’existence passée ou actuelle de sym</w:t>
      </w:r>
      <w:r w:rsidR="00FD7F56">
        <w:rPr>
          <w:rFonts w:ascii="Arial" w:eastAsia="Verdana" w:hAnsi="Arial" w:cs="Arial"/>
          <w:lang w:val="fr-CA"/>
        </w:rPr>
        <w:t xml:space="preserve">ptômes endocriniens </w:t>
      </w:r>
      <w:r w:rsidR="00160889">
        <w:rPr>
          <w:rFonts w:ascii="Arial" w:eastAsia="Verdana" w:hAnsi="Arial" w:cs="Arial"/>
          <w:lang w:val="fr-CA"/>
        </w:rPr>
        <w:t>tels que l’</w:t>
      </w:r>
      <w:r w:rsidR="00AF746B" w:rsidRPr="007D1F47">
        <w:rPr>
          <w:rFonts w:ascii="Arial" w:eastAsia="Verdana" w:hAnsi="Arial" w:cs="Arial"/>
          <w:lang w:val="fr-CA"/>
        </w:rPr>
        <w:t>hirsutism</w:t>
      </w:r>
      <w:r w:rsidR="00160889">
        <w:rPr>
          <w:rFonts w:ascii="Arial" w:eastAsia="Verdana" w:hAnsi="Arial" w:cs="Arial"/>
          <w:lang w:val="fr-CA"/>
        </w:rPr>
        <w:t>e</w:t>
      </w:r>
      <w:r w:rsidR="00AF746B" w:rsidRPr="007D1F47">
        <w:rPr>
          <w:rFonts w:ascii="Arial" w:eastAsia="Verdana" w:hAnsi="Arial" w:cs="Arial"/>
          <w:lang w:val="fr-CA"/>
        </w:rPr>
        <w:t xml:space="preserve">, </w:t>
      </w:r>
      <w:r w:rsidR="00160889">
        <w:rPr>
          <w:rFonts w:ascii="Arial" w:eastAsia="Verdana" w:hAnsi="Arial" w:cs="Arial"/>
          <w:lang w:val="fr-CA"/>
        </w:rPr>
        <w:t>l’</w:t>
      </w:r>
      <w:r w:rsidR="00AF746B" w:rsidRPr="007D1F47">
        <w:rPr>
          <w:rFonts w:ascii="Arial" w:eastAsia="Verdana" w:hAnsi="Arial" w:cs="Arial"/>
          <w:lang w:val="fr-CA"/>
        </w:rPr>
        <w:t>acn</w:t>
      </w:r>
      <w:r w:rsidR="00160889">
        <w:rPr>
          <w:rFonts w:ascii="Arial" w:eastAsia="Verdana" w:hAnsi="Arial" w:cs="Arial"/>
          <w:lang w:val="fr-CA"/>
        </w:rPr>
        <w:t>é</w:t>
      </w:r>
      <w:r w:rsidR="00AF746B" w:rsidRPr="007D1F47">
        <w:rPr>
          <w:rFonts w:ascii="Arial" w:eastAsia="Verdana" w:hAnsi="Arial" w:cs="Arial"/>
          <w:lang w:val="fr-CA"/>
        </w:rPr>
        <w:t xml:space="preserve">, </w:t>
      </w:r>
      <w:r w:rsidR="00160889">
        <w:rPr>
          <w:rFonts w:ascii="Arial" w:eastAsia="Verdana" w:hAnsi="Arial" w:cs="Arial"/>
          <w:lang w:val="fr-CA"/>
        </w:rPr>
        <w:t xml:space="preserve">la </w:t>
      </w:r>
      <w:r w:rsidR="00AF746B" w:rsidRPr="007D1F47">
        <w:rPr>
          <w:rFonts w:ascii="Arial" w:eastAsia="Verdana" w:hAnsi="Arial" w:cs="Arial"/>
          <w:lang w:val="fr-CA"/>
        </w:rPr>
        <w:t>galactorrh</w:t>
      </w:r>
      <w:r w:rsidR="00160889">
        <w:rPr>
          <w:rFonts w:ascii="Arial" w:eastAsia="Verdana" w:hAnsi="Arial" w:cs="Arial"/>
          <w:lang w:val="fr-CA"/>
        </w:rPr>
        <w:t xml:space="preserve">ée, les bouffées de chaleur s’accompagnant de sudation excessive ou la fatigue doit </w:t>
      </w:r>
      <w:r w:rsidR="00984FB9">
        <w:rPr>
          <w:rFonts w:ascii="Arial" w:eastAsia="Verdana" w:hAnsi="Arial" w:cs="Arial"/>
          <w:lang w:val="fr-CA"/>
        </w:rPr>
        <w:t xml:space="preserve">aussi </w:t>
      </w:r>
      <w:r w:rsidR="00160889">
        <w:rPr>
          <w:rFonts w:ascii="Arial" w:eastAsia="Verdana" w:hAnsi="Arial" w:cs="Arial"/>
          <w:lang w:val="fr-CA"/>
        </w:rPr>
        <w:t>être pris</w:t>
      </w:r>
      <w:r w:rsidR="00FF38F2">
        <w:rPr>
          <w:rFonts w:ascii="Arial" w:eastAsia="Verdana" w:hAnsi="Arial" w:cs="Arial"/>
          <w:lang w:val="fr-CA"/>
        </w:rPr>
        <w:t>e</w:t>
      </w:r>
      <w:r w:rsidR="00160889">
        <w:rPr>
          <w:rFonts w:ascii="Arial" w:eastAsia="Verdana" w:hAnsi="Arial" w:cs="Arial"/>
          <w:lang w:val="fr-CA"/>
        </w:rPr>
        <w:t xml:space="preserve"> en compte. </w:t>
      </w:r>
    </w:p>
    <w:p w14:paraId="6FAD1CDD" w14:textId="77777777" w:rsidR="00AF746B" w:rsidRPr="007D1F47" w:rsidRDefault="00AF746B" w:rsidP="00545256">
      <w:pPr>
        <w:spacing w:after="0" w:line="240" w:lineRule="auto"/>
        <w:ind w:left="1170"/>
        <w:jc w:val="both"/>
        <w:rPr>
          <w:rFonts w:ascii="Arial" w:eastAsia="Verdana" w:hAnsi="Arial" w:cs="Arial"/>
          <w:lang w:val="fr-CA"/>
        </w:rPr>
      </w:pPr>
    </w:p>
    <w:p w14:paraId="5F39300A" w14:textId="20A1130F" w:rsidR="00AF746B" w:rsidRPr="007D1F47" w:rsidRDefault="00160889" w:rsidP="00545256">
      <w:pPr>
        <w:spacing w:after="0" w:line="240" w:lineRule="auto"/>
        <w:ind w:left="72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lastRenderedPageBreak/>
        <w:t>Les facteurs liés au mode de vie</w:t>
      </w:r>
      <w:r w:rsidR="00CE7DE2">
        <w:rPr>
          <w:rFonts w:ascii="Arial" w:eastAsia="Verdana" w:hAnsi="Arial" w:cs="Arial"/>
          <w:lang w:val="fr-CA"/>
        </w:rPr>
        <w:t xml:space="preserve"> sont également importants. On pense notamment </w:t>
      </w:r>
      <w:r w:rsidR="00C178E6">
        <w:rPr>
          <w:rFonts w:ascii="Arial" w:eastAsia="Verdana" w:hAnsi="Arial" w:cs="Arial"/>
          <w:lang w:val="fr-CA"/>
        </w:rPr>
        <w:t xml:space="preserve">au </w:t>
      </w:r>
      <w:r w:rsidR="00CE7DE2">
        <w:rPr>
          <w:rFonts w:ascii="Arial" w:eastAsia="Verdana" w:hAnsi="Arial" w:cs="Arial"/>
          <w:lang w:val="fr-CA"/>
        </w:rPr>
        <w:t>surpoids, à la maigreur</w:t>
      </w:r>
      <w:r w:rsidR="00C178E6">
        <w:rPr>
          <w:rFonts w:ascii="Arial" w:eastAsia="Verdana" w:hAnsi="Arial" w:cs="Arial"/>
          <w:lang w:val="fr-CA"/>
        </w:rPr>
        <w:t xml:space="preserve"> excessive</w:t>
      </w:r>
      <w:r w:rsidR="00CE7DE2">
        <w:rPr>
          <w:rFonts w:ascii="Arial" w:eastAsia="Verdana" w:hAnsi="Arial" w:cs="Arial"/>
          <w:lang w:val="fr-CA"/>
        </w:rPr>
        <w:t xml:space="preserve">, à la perte ou au gain </w:t>
      </w:r>
      <w:r w:rsidR="00C178E6">
        <w:rPr>
          <w:rFonts w:ascii="Arial" w:eastAsia="Verdana" w:hAnsi="Arial" w:cs="Arial"/>
          <w:lang w:val="fr-CA"/>
        </w:rPr>
        <w:t>pondéral, à l’alimentation,</w:t>
      </w:r>
      <w:r w:rsidR="00AF746B" w:rsidRPr="007D1F47">
        <w:rPr>
          <w:rFonts w:ascii="Arial" w:eastAsia="Verdana" w:hAnsi="Arial" w:cs="Arial"/>
          <w:lang w:val="fr-CA"/>
        </w:rPr>
        <w:t xml:space="preserve"> </w:t>
      </w:r>
      <w:r w:rsidR="00C178E6">
        <w:rPr>
          <w:rFonts w:ascii="Arial" w:eastAsia="Verdana" w:hAnsi="Arial" w:cs="Arial"/>
          <w:lang w:val="fr-CA"/>
        </w:rPr>
        <w:t xml:space="preserve">au </w:t>
      </w:r>
      <w:r w:rsidR="00AF746B" w:rsidRPr="007D1F47">
        <w:rPr>
          <w:rFonts w:ascii="Arial" w:eastAsia="Verdana" w:hAnsi="Arial" w:cs="Arial"/>
          <w:lang w:val="fr-CA"/>
        </w:rPr>
        <w:t xml:space="preserve">type </w:t>
      </w:r>
      <w:r w:rsidR="00C178E6">
        <w:rPr>
          <w:rFonts w:ascii="Arial" w:eastAsia="Verdana" w:hAnsi="Arial" w:cs="Arial"/>
          <w:lang w:val="fr-CA"/>
        </w:rPr>
        <w:t xml:space="preserve">d’activité physique ou de sport </w:t>
      </w:r>
      <w:r w:rsidR="00984FB9">
        <w:rPr>
          <w:rFonts w:ascii="Arial" w:eastAsia="Verdana" w:hAnsi="Arial" w:cs="Arial"/>
          <w:lang w:val="fr-CA"/>
        </w:rPr>
        <w:t xml:space="preserve">pratiqué </w:t>
      </w:r>
      <w:r w:rsidR="00C178E6">
        <w:rPr>
          <w:rFonts w:ascii="Arial" w:eastAsia="Verdana" w:hAnsi="Arial" w:cs="Arial"/>
          <w:lang w:val="fr-CA"/>
        </w:rPr>
        <w:t xml:space="preserve">et à la fréquence des entraînements, de même qu’à la consommation de café, de tabac et d’alcool. </w:t>
      </w:r>
    </w:p>
    <w:p w14:paraId="2FF4C846" w14:textId="77777777" w:rsidR="00AF746B" w:rsidRPr="007D1F47" w:rsidRDefault="00AF746B" w:rsidP="00545256">
      <w:pPr>
        <w:spacing w:after="0" w:line="240" w:lineRule="auto"/>
        <w:ind w:left="720"/>
        <w:jc w:val="both"/>
        <w:rPr>
          <w:rFonts w:ascii="Arial" w:eastAsia="Verdana" w:hAnsi="Arial" w:cs="Arial"/>
          <w:lang w:val="fr-CA"/>
        </w:rPr>
      </w:pPr>
      <w:r w:rsidRPr="007D1F47">
        <w:rPr>
          <w:rFonts w:ascii="Arial" w:eastAsia="Verdana" w:hAnsi="Arial" w:cs="Arial"/>
          <w:lang w:val="fr-CA"/>
        </w:rPr>
        <w:t xml:space="preserve"> </w:t>
      </w:r>
    </w:p>
    <w:p w14:paraId="5CB3FAB2" w14:textId="52701277" w:rsidR="00AF746B" w:rsidRPr="007D1F47" w:rsidRDefault="00160889" w:rsidP="00545256">
      <w:pPr>
        <w:spacing w:after="0" w:line="240" w:lineRule="auto"/>
        <w:ind w:left="72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>De nombreuses maladies chroniques</w:t>
      </w:r>
      <w:r w:rsidR="00CE7DE2">
        <w:rPr>
          <w:rFonts w:ascii="Arial" w:eastAsia="Verdana" w:hAnsi="Arial" w:cs="Arial"/>
          <w:lang w:val="fr-CA"/>
        </w:rPr>
        <w:t xml:space="preserve">, comme l’asthme, le diabète, l’épilepsie et la maladie mentale, </w:t>
      </w:r>
      <w:r w:rsidR="00984FB9">
        <w:rPr>
          <w:rFonts w:ascii="Arial" w:eastAsia="Verdana" w:hAnsi="Arial" w:cs="Arial"/>
          <w:lang w:val="fr-CA"/>
        </w:rPr>
        <w:t>ou</w:t>
      </w:r>
      <w:r w:rsidR="00CE7DE2">
        <w:rPr>
          <w:rFonts w:ascii="Arial" w:eastAsia="Verdana" w:hAnsi="Arial" w:cs="Arial"/>
          <w:lang w:val="fr-CA"/>
        </w:rPr>
        <w:t xml:space="preserve"> les médicaments utilisés pour les traiter,</w:t>
      </w:r>
      <w:r>
        <w:rPr>
          <w:rFonts w:ascii="Arial" w:eastAsia="Verdana" w:hAnsi="Arial" w:cs="Arial"/>
          <w:lang w:val="fr-CA"/>
        </w:rPr>
        <w:t xml:space="preserve"> </w:t>
      </w:r>
      <w:r w:rsidR="00CE7DE2">
        <w:rPr>
          <w:rFonts w:ascii="Arial" w:eastAsia="Verdana" w:hAnsi="Arial" w:cs="Arial"/>
          <w:lang w:val="fr-CA"/>
        </w:rPr>
        <w:t xml:space="preserve">peuvent nuire à la fertilité. </w:t>
      </w:r>
    </w:p>
    <w:p w14:paraId="315F5519" w14:textId="77777777" w:rsidR="00D8610C" w:rsidRPr="007D1F47" w:rsidRDefault="00D8610C" w:rsidP="00545256">
      <w:pPr>
        <w:spacing w:after="0" w:line="240" w:lineRule="auto"/>
        <w:ind w:left="1170"/>
        <w:jc w:val="both"/>
        <w:rPr>
          <w:rFonts w:ascii="Arial" w:eastAsia="Verdana" w:hAnsi="Arial" w:cs="Arial"/>
          <w:lang w:val="fr-CA"/>
        </w:rPr>
      </w:pPr>
    </w:p>
    <w:p w14:paraId="25147609" w14:textId="2F8C611A" w:rsidR="00AD63A6" w:rsidRPr="007D1F47" w:rsidRDefault="00AF746B" w:rsidP="0054525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Verdana" w:hAnsi="Arial" w:cs="Arial"/>
          <w:b/>
          <w:lang w:val="fr-CA"/>
        </w:rPr>
      </w:pPr>
      <w:r w:rsidRPr="007D1F47">
        <w:rPr>
          <w:rFonts w:ascii="Arial" w:eastAsia="Verdana" w:hAnsi="Arial" w:cs="Arial"/>
          <w:b/>
          <w:lang w:val="fr-CA"/>
        </w:rPr>
        <w:t>C</w:t>
      </w:r>
      <w:r w:rsidR="00AD63A6" w:rsidRPr="007D1F47">
        <w:rPr>
          <w:rFonts w:ascii="Arial" w:eastAsia="Verdana" w:hAnsi="Arial" w:cs="Arial"/>
          <w:b/>
          <w:lang w:val="fr-CA"/>
        </w:rPr>
        <w:t>rit</w:t>
      </w:r>
      <w:r w:rsidR="007D1F47">
        <w:rPr>
          <w:rFonts w:ascii="Arial" w:eastAsia="Verdana" w:hAnsi="Arial" w:cs="Arial"/>
          <w:b/>
          <w:lang w:val="fr-CA"/>
        </w:rPr>
        <w:t>è</w:t>
      </w:r>
      <w:r w:rsidR="00AD63A6" w:rsidRPr="007D1F47">
        <w:rPr>
          <w:rFonts w:ascii="Arial" w:eastAsia="Verdana" w:hAnsi="Arial" w:cs="Arial"/>
          <w:b/>
          <w:lang w:val="fr-CA"/>
        </w:rPr>
        <w:t>r</w:t>
      </w:r>
      <w:r w:rsidR="007D1F47">
        <w:rPr>
          <w:rFonts w:ascii="Arial" w:eastAsia="Verdana" w:hAnsi="Arial" w:cs="Arial"/>
          <w:b/>
          <w:lang w:val="fr-CA"/>
        </w:rPr>
        <w:t>es diagnostiques</w:t>
      </w:r>
    </w:p>
    <w:p w14:paraId="1D00EE32" w14:textId="77777777" w:rsidR="00AD63A6" w:rsidRPr="007D1F47" w:rsidRDefault="00AD63A6" w:rsidP="00545256">
      <w:pPr>
        <w:spacing w:after="0" w:line="240" w:lineRule="auto"/>
        <w:ind w:left="360"/>
        <w:jc w:val="both"/>
        <w:rPr>
          <w:rFonts w:ascii="Arial" w:eastAsia="Verdana" w:hAnsi="Arial" w:cs="Arial"/>
          <w:b/>
          <w:lang w:val="fr-CA"/>
        </w:rPr>
      </w:pPr>
    </w:p>
    <w:p w14:paraId="5458953B" w14:textId="483A5098" w:rsidR="00AD63A6" w:rsidRPr="007D1F47" w:rsidRDefault="002907B2" w:rsidP="00545256">
      <w:pPr>
        <w:spacing w:after="0" w:line="240" w:lineRule="auto"/>
        <w:ind w:left="72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Le critère diagnostique de l’infertilité </w:t>
      </w:r>
      <w:r w:rsidR="0027686B">
        <w:rPr>
          <w:rFonts w:ascii="Arial" w:eastAsia="Verdana" w:hAnsi="Arial" w:cs="Arial"/>
          <w:lang w:val="fr-CA"/>
        </w:rPr>
        <w:t>est l’i</w:t>
      </w:r>
      <w:r w:rsidR="00C306BB">
        <w:rPr>
          <w:rFonts w:ascii="Arial" w:eastAsia="Verdana" w:hAnsi="Arial" w:cs="Arial"/>
          <w:lang w:val="fr-CA"/>
        </w:rPr>
        <w:t xml:space="preserve">ncapacité à </w:t>
      </w:r>
      <w:r w:rsidR="0027686B">
        <w:rPr>
          <w:rFonts w:ascii="Arial" w:eastAsia="Verdana" w:hAnsi="Arial" w:cs="Arial"/>
          <w:lang w:val="fr-CA"/>
        </w:rPr>
        <w:t>obtenir une grossesse clinique après au moins 12 mois de relations sexuelles régulières non protégées</w:t>
      </w:r>
      <w:r w:rsidR="00AD63A6" w:rsidRPr="007D1F47">
        <w:rPr>
          <w:rFonts w:ascii="Arial" w:eastAsia="Verdana" w:hAnsi="Arial" w:cs="Arial"/>
          <w:lang w:val="fr-CA"/>
        </w:rPr>
        <w:t xml:space="preserve">. </w:t>
      </w:r>
      <w:r w:rsidR="0027686B">
        <w:rPr>
          <w:rFonts w:ascii="Arial" w:eastAsia="Verdana" w:hAnsi="Arial" w:cs="Arial"/>
          <w:lang w:val="fr-CA"/>
        </w:rPr>
        <w:t xml:space="preserve">L’évaluation initiale vise à </w:t>
      </w:r>
      <w:r w:rsidR="00BA68E1">
        <w:rPr>
          <w:rFonts w:ascii="Arial" w:eastAsia="Verdana" w:hAnsi="Arial" w:cs="Arial"/>
          <w:lang w:val="fr-CA"/>
        </w:rPr>
        <w:t>en détermine</w:t>
      </w:r>
      <w:r w:rsidR="0027686B">
        <w:rPr>
          <w:rFonts w:ascii="Arial" w:eastAsia="Verdana" w:hAnsi="Arial" w:cs="Arial"/>
          <w:lang w:val="fr-CA"/>
        </w:rPr>
        <w:t xml:space="preserve">r les causes sous-jacentes. </w:t>
      </w:r>
      <w:r w:rsidR="00BA68E1">
        <w:rPr>
          <w:rFonts w:ascii="Arial" w:eastAsia="Verdana" w:hAnsi="Arial" w:cs="Arial"/>
          <w:lang w:val="fr-CA"/>
        </w:rPr>
        <w:t>Ce</w:t>
      </w:r>
      <w:r w:rsidR="00BA68E1" w:rsidRPr="00BA68E1">
        <w:rPr>
          <w:rFonts w:ascii="Arial" w:eastAsia="Verdana" w:hAnsi="Arial" w:cs="Arial"/>
          <w:lang w:val="fr-CA"/>
        </w:rPr>
        <w:t>s causes peuvent être multifactorielles et permett</w:t>
      </w:r>
      <w:r w:rsidR="00BA68E1">
        <w:rPr>
          <w:rFonts w:ascii="Arial" w:eastAsia="Verdana" w:hAnsi="Arial" w:cs="Arial"/>
          <w:lang w:val="fr-CA"/>
        </w:rPr>
        <w:t>re</w:t>
      </w:r>
      <w:r w:rsidR="00BA68E1" w:rsidRPr="00BA68E1">
        <w:rPr>
          <w:rFonts w:ascii="Arial" w:eastAsia="Verdana" w:hAnsi="Arial" w:cs="Arial"/>
          <w:lang w:val="fr-CA"/>
        </w:rPr>
        <w:t xml:space="preserve"> d'établir le pronostic d'une grossesse </w:t>
      </w:r>
      <w:r w:rsidR="00BA68E1">
        <w:rPr>
          <w:rFonts w:ascii="Arial" w:eastAsia="Verdana" w:hAnsi="Arial" w:cs="Arial"/>
          <w:lang w:val="fr-CA"/>
        </w:rPr>
        <w:t xml:space="preserve">à terme, </w:t>
      </w:r>
      <w:r w:rsidR="00BA68E1" w:rsidRPr="00BA68E1">
        <w:rPr>
          <w:rFonts w:ascii="Arial" w:eastAsia="Verdana" w:hAnsi="Arial" w:cs="Arial"/>
          <w:lang w:val="fr-CA"/>
        </w:rPr>
        <w:t>avec ou sans traitement. L'</w:t>
      </w:r>
      <w:r w:rsidR="00BA68E1">
        <w:rPr>
          <w:rFonts w:ascii="Arial" w:eastAsia="Verdana" w:hAnsi="Arial" w:cs="Arial"/>
          <w:lang w:val="fr-CA"/>
        </w:rPr>
        <w:t xml:space="preserve">évaluation </w:t>
      </w:r>
      <w:r w:rsidR="001542A3">
        <w:rPr>
          <w:rFonts w:ascii="Arial" w:eastAsia="Verdana" w:hAnsi="Arial" w:cs="Arial"/>
          <w:lang w:val="fr-CA"/>
        </w:rPr>
        <w:t>est</w:t>
      </w:r>
      <w:r w:rsidR="00C17E78">
        <w:rPr>
          <w:rFonts w:ascii="Arial" w:eastAsia="Verdana" w:hAnsi="Arial" w:cs="Arial"/>
          <w:lang w:val="fr-CA"/>
        </w:rPr>
        <w:t xml:space="preserve"> </w:t>
      </w:r>
      <w:r w:rsidR="00BA68E1" w:rsidRPr="00BA68E1">
        <w:rPr>
          <w:rFonts w:ascii="Arial" w:eastAsia="Verdana" w:hAnsi="Arial" w:cs="Arial"/>
          <w:lang w:val="fr-CA"/>
        </w:rPr>
        <w:t>généralement</w:t>
      </w:r>
      <w:r w:rsidR="00BA68E1">
        <w:rPr>
          <w:rFonts w:ascii="Arial" w:eastAsia="Verdana" w:hAnsi="Arial" w:cs="Arial"/>
          <w:lang w:val="fr-CA"/>
        </w:rPr>
        <w:t xml:space="preserve"> </w:t>
      </w:r>
      <w:r w:rsidR="001542A3">
        <w:rPr>
          <w:rFonts w:ascii="Arial" w:eastAsia="Verdana" w:hAnsi="Arial" w:cs="Arial"/>
          <w:lang w:val="fr-CA"/>
        </w:rPr>
        <w:t xml:space="preserve">réalisée chez </w:t>
      </w:r>
      <w:r w:rsidR="00BA68E1">
        <w:rPr>
          <w:rFonts w:ascii="Arial" w:eastAsia="Verdana" w:hAnsi="Arial" w:cs="Arial"/>
          <w:lang w:val="fr-CA"/>
        </w:rPr>
        <w:t>les</w:t>
      </w:r>
      <w:r w:rsidR="00BA68E1" w:rsidRPr="00BA68E1">
        <w:rPr>
          <w:rFonts w:ascii="Arial" w:eastAsia="Verdana" w:hAnsi="Arial" w:cs="Arial"/>
          <w:lang w:val="fr-CA"/>
        </w:rPr>
        <w:t xml:space="preserve"> deux </w:t>
      </w:r>
      <w:r w:rsidR="001542A3">
        <w:rPr>
          <w:rFonts w:ascii="Arial" w:eastAsia="Verdana" w:hAnsi="Arial" w:cs="Arial"/>
          <w:lang w:val="fr-CA"/>
        </w:rPr>
        <w:t>partenaires</w:t>
      </w:r>
      <w:r w:rsidR="00BA68E1" w:rsidRPr="00BA68E1">
        <w:rPr>
          <w:rFonts w:ascii="Arial" w:eastAsia="Verdana" w:hAnsi="Arial" w:cs="Arial"/>
          <w:lang w:val="fr-CA"/>
        </w:rPr>
        <w:t xml:space="preserve">. </w:t>
      </w:r>
      <w:r w:rsidR="001542A3">
        <w:rPr>
          <w:rFonts w:ascii="Arial" w:eastAsia="Verdana" w:hAnsi="Arial" w:cs="Arial"/>
          <w:lang w:val="fr-CA"/>
        </w:rPr>
        <w:t>Cela dit, i</w:t>
      </w:r>
      <w:r w:rsidR="00BA68E1" w:rsidRPr="00BA68E1">
        <w:rPr>
          <w:rFonts w:ascii="Arial" w:eastAsia="Verdana" w:hAnsi="Arial" w:cs="Arial"/>
          <w:lang w:val="fr-CA"/>
        </w:rPr>
        <w:t xml:space="preserve">l est </w:t>
      </w:r>
      <w:r w:rsidR="00BA68E1">
        <w:rPr>
          <w:rFonts w:ascii="Arial" w:eastAsia="Verdana" w:hAnsi="Arial" w:cs="Arial"/>
          <w:lang w:val="fr-CA"/>
        </w:rPr>
        <w:t>admis</w:t>
      </w:r>
      <w:r w:rsidR="00BA68E1" w:rsidRPr="00BA68E1">
        <w:rPr>
          <w:rFonts w:ascii="Arial" w:eastAsia="Verdana" w:hAnsi="Arial" w:cs="Arial"/>
          <w:lang w:val="fr-CA"/>
        </w:rPr>
        <w:t xml:space="preserve"> que tous les tests ou </w:t>
      </w:r>
      <w:r w:rsidR="00C17E78">
        <w:rPr>
          <w:rFonts w:ascii="Arial" w:eastAsia="Verdana" w:hAnsi="Arial" w:cs="Arial"/>
          <w:lang w:val="fr-CA"/>
        </w:rPr>
        <w:t xml:space="preserve">épreuves </w:t>
      </w:r>
      <w:r w:rsidR="00BA68E1">
        <w:rPr>
          <w:rFonts w:ascii="Arial" w:eastAsia="Verdana" w:hAnsi="Arial" w:cs="Arial"/>
          <w:lang w:val="fr-CA"/>
        </w:rPr>
        <w:t>d</w:t>
      </w:r>
      <w:r w:rsidR="00BA68E1" w:rsidRPr="00BA68E1">
        <w:rPr>
          <w:rFonts w:ascii="Arial" w:eastAsia="Verdana" w:hAnsi="Arial" w:cs="Arial"/>
          <w:lang w:val="fr-CA"/>
        </w:rPr>
        <w:t xml:space="preserve">'imagerie ne sont pas forcément accessibles à tous les </w:t>
      </w:r>
      <w:r w:rsidR="00BA68E1">
        <w:rPr>
          <w:rFonts w:ascii="Arial" w:eastAsia="Verdana" w:hAnsi="Arial" w:cs="Arial"/>
          <w:lang w:val="fr-CA"/>
        </w:rPr>
        <w:t>sportifs.</w:t>
      </w:r>
    </w:p>
    <w:p w14:paraId="6DF03678" w14:textId="77777777" w:rsidR="0073175B" w:rsidRPr="007D1F47" w:rsidRDefault="0073175B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</w:p>
    <w:p w14:paraId="3366851E" w14:textId="2FBE5A8B" w:rsidR="0073175B" w:rsidRPr="007D1F47" w:rsidRDefault="007D1F47" w:rsidP="0054525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color w:val="000000"/>
          <w:lang w:val="fr-CA"/>
        </w:rPr>
      </w:pPr>
      <w:r>
        <w:rPr>
          <w:rFonts w:ascii="Arial" w:eastAsia="Verdana" w:hAnsi="Arial" w:cs="Arial"/>
          <w:b/>
          <w:lang w:val="fr-CA"/>
        </w:rPr>
        <w:t>E</w:t>
      </w:r>
      <w:r w:rsidR="00265990" w:rsidRPr="007D1F47">
        <w:rPr>
          <w:rFonts w:ascii="Arial" w:eastAsia="Verdana" w:hAnsi="Arial" w:cs="Arial"/>
          <w:b/>
          <w:color w:val="000000"/>
          <w:lang w:val="fr-CA"/>
        </w:rPr>
        <w:t>xam</w:t>
      </w:r>
      <w:r>
        <w:rPr>
          <w:rFonts w:ascii="Arial" w:eastAsia="Verdana" w:hAnsi="Arial" w:cs="Arial"/>
          <w:b/>
          <w:color w:val="000000"/>
          <w:lang w:val="fr-CA"/>
        </w:rPr>
        <w:t>en physique</w:t>
      </w:r>
    </w:p>
    <w:p w14:paraId="7F0D9C8C" w14:textId="77777777" w:rsidR="0073175B" w:rsidRPr="007D1F47" w:rsidRDefault="0073175B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Verdana" w:hAnsi="Arial" w:cs="Arial"/>
          <w:b/>
          <w:lang w:val="fr-CA"/>
        </w:rPr>
      </w:pPr>
    </w:p>
    <w:p w14:paraId="34435C93" w14:textId="4869A31D" w:rsidR="00E2425D" w:rsidRPr="007D1F47" w:rsidRDefault="002907B2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color w:val="000000"/>
          <w:lang w:val="fr-CA"/>
        </w:rPr>
      </w:pPr>
      <w:r>
        <w:rPr>
          <w:rFonts w:ascii="Arial" w:hAnsi="Arial" w:cs="Arial"/>
          <w:lang w:val="fr-CA"/>
        </w:rPr>
        <w:t>Un examen physique général</w:t>
      </w:r>
      <w:r w:rsidR="001542A3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comp</w:t>
      </w:r>
      <w:r w:rsidR="001542A3">
        <w:rPr>
          <w:rFonts w:ascii="Arial" w:hAnsi="Arial" w:cs="Arial"/>
          <w:lang w:val="fr-CA"/>
        </w:rPr>
        <w:t>ortan</w:t>
      </w:r>
      <w:r>
        <w:rPr>
          <w:rFonts w:ascii="Arial" w:hAnsi="Arial" w:cs="Arial"/>
          <w:lang w:val="fr-CA"/>
        </w:rPr>
        <w:t>t un examen gynécologique p</w:t>
      </w:r>
      <w:r w:rsidR="0027686B">
        <w:rPr>
          <w:rFonts w:ascii="Arial" w:hAnsi="Arial" w:cs="Arial"/>
          <w:lang w:val="fr-CA"/>
        </w:rPr>
        <w:t>ourrait permettre d’exclure les causes d’infertilité</w:t>
      </w:r>
      <w:r w:rsidR="0027686B" w:rsidRPr="0027686B">
        <w:rPr>
          <w:rFonts w:ascii="Arial" w:hAnsi="Arial" w:cs="Arial"/>
          <w:lang w:val="fr-CA"/>
        </w:rPr>
        <w:t xml:space="preserve"> </w:t>
      </w:r>
      <w:r w:rsidR="0027686B">
        <w:rPr>
          <w:rFonts w:ascii="Arial" w:hAnsi="Arial" w:cs="Arial"/>
          <w:lang w:val="fr-CA"/>
        </w:rPr>
        <w:t>connues</w:t>
      </w:r>
      <w:r w:rsidR="00265990" w:rsidRPr="007D1F47">
        <w:rPr>
          <w:rFonts w:ascii="Arial" w:eastAsia="Verdana" w:hAnsi="Arial" w:cs="Arial"/>
          <w:lang w:val="fr-CA"/>
        </w:rPr>
        <w:t>.</w:t>
      </w:r>
      <w:r w:rsidR="005F40D1" w:rsidRPr="007D1F47">
        <w:rPr>
          <w:rFonts w:ascii="Arial" w:eastAsia="Verdana" w:hAnsi="Arial" w:cs="Arial"/>
          <w:color w:val="000000"/>
          <w:lang w:val="fr-CA"/>
        </w:rPr>
        <w:t xml:space="preserve"> </w:t>
      </w:r>
      <w:r w:rsidR="0027686B">
        <w:rPr>
          <w:rFonts w:ascii="Arial" w:eastAsia="Verdana" w:hAnsi="Arial" w:cs="Arial"/>
          <w:color w:val="000000"/>
          <w:lang w:val="fr-CA"/>
        </w:rPr>
        <w:t>L’indice de masse corporelle et certains signes distinctifs, comme l’</w:t>
      </w:r>
      <w:r w:rsidR="005F40D1" w:rsidRPr="007D1F47">
        <w:rPr>
          <w:rFonts w:ascii="Arial" w:eastAsia="Arial" w:hAnsi="Arial" w:cs="Arial"/>
          <w:color w:val="000000"/>
          <w:lang w:val="fr-CA"/>
        </w:rPr>
        <w:t>hirsutism</w:t>
      </w:r>
      <w:r w:rsidR="0027686B">
        <w:rPr>
          <w:rFonts w:ascii="Arial" w:eastAsia="Arial" w:hAnsi="Arial" w:cs="Arial"/>
          <w:color w:val="000000"/>
          <w:lang w:val="fr-CA"/>
        </w:rPr>
        <w:t>e ou l’acné, doivent être consignés.</w:t>
      </w:r>
    </w:p>
    <w:p w14:paraId="483BA018" w14:textId="203C2A0C" w:rsidR="0073175B" w:rsidRPr="007D1F47" w:rsidRDefault="0073175B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hAnsi="Arial" w:cs="Arial"/>
          <w:lang w:val="fr-CA"/>
        </w:rPr>
      </w:pPr>
    </w:p>
    <w:p w14:paraId="32798EAA" w14:textId="4005EB97" w:rsidR="0073175B" w:rsidRPr="007D1F47" w:rsidRDefault="007D1F47" w:rsidP="0054525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b/>
          <w:lang w:val="fr-CA"/>
        </w:rPr>
        <w:t>Épreuves d’imagerie et autres test</w:t>
      </w:r>
      <w:r w:rsidR="00265990" w:rsidRPr="007D1F47">
        <w:rPr>
          <w:rFonts w:ascii="Arial" w:eastAsia="Verdana" w:hAnsi="Arial" w:cs="Arial"/>
          <w:b/>
          <w:lang w:val="fr-CA"/>
        </w:rPr>
        <w:t>s</w:t>
      </w:r>
    </w:p>
    <w:p w14:paraId="6D9A3AE5" w14:textId="77777777" w:rsidR="00A51153" w:rsidRPr="007D1F47" w:rsidRDefault="00A51153" w:rsidP="00545256">
      <w:pPr>
        <w:pStyle w:val="ListParagraph"/>
        <w:spacing w:after="0" w:line="240" w:lineRule="auto"/>
        <w:ind w:left="1170"/>
        <w:jc w:val="both"/>
        <w:rPr>
          <w:rFonts w:ascii="Arial" w:eastAsia="Verdana" w:hAnsi="Arial" w:cs="Arial"/>
          <w:lang w:val="fr-CA"/>
        </w:rPr>
      </w:pPr>
    </w:p>
    <w:p w14:paraId="7C5A2DFF" w14:textId="1CA6E3D7" w:rsidR="001542A3" w:rsidRDefault="00C17E78" w:rsidP="00545256">
      <w:pPr>
        <w:spacing w:after="0" w:line="240" w:lineRule="auto"/>
        <w:ind w:left="720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Les épreuves d’imagerie et </w:t>
      </w:r>
      <w:r w:rsidR="001542A3">
        <w:rPr>
          <w:rFonts w:ascii="Arial" w:eastAsia="Verdana" w:hAnsi="Arial" w:cs="Arial"/>
          <w:lang w:val="fr-CA"/>
        </w:rPr>
        <w:t xml:space="preserve">les </w:t>
      </w:r>
      <w:r>
        <w:rPr>
          <w:rFonts w:ascii="Arial" w:eastAsia="Verdana" w:hAnsi="Arial" w:cs="Arial"/>
          <w:lang w:val="fr-CA"/>
        </w:rPr>
        <w:t>autres tests</w:t>
      </w:r>
      <w:r w:rsidR="001542A3">
        <w:rPr>
          <w:rFonts w:ascii="Arial" w:eastAsia="Verdana" w:hAnsi="Arial" w:cs="Arial"/>
          <w:lang w:val="fr-CA"/>
        </w:rPr>
        <w:t xml:space="preserve"> </w:t>
      </w:r>
      <w:r w:rsidR="00FC16B6">
        <w:rPr>
          <w:rFonts w:ascii="Arial" w:eastAsia="Verdana" w:hAnsi="Arial" w:cs="Arial"/>
          <w:lang w:val="fr-CA"/>
        </w:rPr>
        <w:t xml:space="preserve">doivent être adaptés </w:t>
      </w:r>
      <w:r w:rsidR="00417323">
        <w:rPr>
          <w:rFonts w:ascii="Arial" w:eastAsia="Verdana" w:hAnsi="Arial" w:cs="Arial"/>
          <w:lang w:val="fr-CA"/>
        </w:rPr>
        <w:t>aux besoins individuels</w:t>
      </w:r>
      <w:r w:rsidR="001542A3">
        <w:rPr>
          <w:rFonts w:ascii="Arial" w:eastAsia="Verdana" w:hAnsi="Arial" w:cs="Arial"/>
          <w:lang w:val="fr-CA"/>
        </w:rPr>
        <w:t xml:space="preserve"> et </w:t>
      </w:r>
      <w:r w:rsidR="00FC16B6">
        <w:rPr>
          <w:rFonts w:ascii="Arial" w:eastAsia="Verdana" w:hAnsi="Arial" w:cs="Arial"/>
          <w:lang w:val="fr-CA"/>
        </w:rPr>
        <w:t xml:space="preserve">peuvent comprendre </w:t>
      </w:r>
      <w:r w:rsidR="001542A3">
        <w:rPr>
          <w:rFonts w:ascii="Arial" w:eastAsia="Verdana" w:hAnsi="Arial" w:cs="Arial"/>
          <w:lang w:val="fr-CA"/>
        </w:rPr>
        <w:t>ce qui suit </w:t>
      </w:r>
      <w:r w:rsidR="00FC16B6">
        <w:rPr>
          <w:rFonts w:ascii="Arial" w:eastAsia="Verdana" w:hAnsi="Arial" w:cs="Arial"/>
          <w:lang w:val="fr-CA"/>
        </w:rPr>
        <w:t>:</w:t>
      </w:r>
    </w:p>
    <w:p w14:paraId="5486BEAE" w14:textId="4AD584F3" w:rsidR="00111181" w:rsidRPr="007D1F47" w:rsidRDefault="00FC16B6" w:rsidP="00545256">
      <w:pPr>
        <w:spacing w:after="0" w:line="240" w:lineRule="auto"/>
        <w:ind w:left="1170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 </w:t>
      </w:r>
    </w:p>
    <w:p w14:paraId="56BFB4C3" w14:textId="70E64997" w:rsidR="00797E32" w:rsidRPr="002D2C22" w:rsidRDefault="00797E32" w:rsidP="00545256">
      <w:pPr>
        <w:numPr>
          <w:ilvl w:val="0"/>
          <w:numId w:val="3"/>
        </w:numPr>
        <w:spacing w:after="0" w:line="240" w:lineRule="auto"/>
        <w:ind w:left="990" w:hanging="270"/>
        <w:jc w:val="both"/>
        <w:rPr>
          <w:rFonts w:ascii="Arial" w:hAnsi="Arial" w:cs="Arial"/>
          <w:lang w:val="fr-CA"/>
        </w:rPr>
      </w:pPr>
      <w:r w:rsidRPr="00797E32">
        <w:rPr>
          <w:rFonts w:ascii="Arial" w:eastAsia="Verdana" w:hAnsi="Arial" w:cs="Arial"/>
          <w:lang w:val="fr-CA"/>
        </w:rPr>
        <w:t xml:space="preserve">Un examen gynécologique comprenant une échographie vaginale est effectué pour évaluer l'utérus et les ovaires </w:t>
      </w:r>
      <w:r w:rsidR="00F6204C">
        <w:rPr>
          <w:rFonts w:ascii="Arial" w:eastAsia="Verdana" w:hAnsi="Arial" w:cs="Arial"/>
          <w:lang w:val="fr-CA"/>
        </w:rPr>
        <w:t>en lien avec</w:t>
      </w:r>
      <w:r w:rsidRPr="00797E32">
        <w:rPr>
          <w:rFonts w:ascii="Arial" w:eastAsia="Verdana" w:hAnsi="Arial" w:cs="Arial"/>
          <w:lang w:val="fr-CA"/>
        </w:rPr>
        <w:t xml:space="preserve"> la phase du cycle menstruel et l'âge</w:t>
      </w:r>
      <w:r w:rsidR="001542A3">
        <w:rPr>
          <w:rFonts w:ascii="Arial" w:eastAsia="Verdana" w:hAnsi="Arial" w:cs="Arial"/>
          <w:lang w:val="fr-CA"/>
        </w:rPr>
        <w:t xml:space="preserve"> de la femme</w:t>
      </w:r>
      <w:r w:rsidRPr="00797E32">
        <w:rPr>
          <w:rFonts w:ascii="Arial" w:eastAsia="Verdana" w:hAnsi="Arial" w:cs="Arial"/>
          <w:lang w:val="fr-CA"/>
        </w:rPr>
        <w:t xml:space="preserve">. </w:t>
      </w:r>
      <w:r w:rsidR="001542A3">
        <w:rPr>
          <w:rFonts w:ascii="Arial" w:eastAsia="Verdana" w:hAnsi="Arial" w:cs="Arial"/>
          <w:lang w:val="fr-CA"/>
        </w:rPr>
        <w:t>La</w:t>
      </w:r>
      <w:r w:rsidR="008B00DD">
        <w:rPr>
          <w:rFonts w:ascii="Arial" w:eastAsia="Verdana" w:hAnsi="Arial" w:cs="Arial"/>
          <w:lang w:val="fr-CA"/>
        </w:rPr>
        <w:t xml:space="preserve"> numération des</w:t>
      </w:r>
      <w:r w:rsidRPr="00797E32">
        <w:rPr>
          <w:rFonts w:ascii="Arial" w:eastAsia="Verdana" w:hAnsi="Arial" w:cs="Arial"/>
          <w:lang w:val="fr-CA"/>
        </w:rPr>
        <w:t xml:space="preserve"> follicules antraux </w:t>
      </w:r>
      <w:r w:rsidR="00B01628">
        <w:rPr>
          <w:rFonts w:ascii="Arial" w:eastAsia="Verdana" w:hAnsi="Arial" w:cs="Arial"/>
          <w:lang w:val="fr-CA"/>
        </w:rPr>
        <w:t>est</w:t>
      </w:r>
      <w:r w:rsidR="002E680E">
        <w:rPr>
          <w:rFonts w:ascii="Arial" w:eastAsia="Verdana" w:hAnsi="Arial" w:cs="Arial"/>
          <w:lang w:val="fr-CA"/>
        </w:rPr>
        <w:t xml:space="preserve"> </w:t>
      </w:r>
      <w:r w:rsidR="00E54D46">
        <w:rPr>
          <w:rFonts w:ascii="Arial" w:eastAsia="Verdana" w:hAnsi="Arial" w:cs="Arial"/>
          <w:lang w:val="fr-CA"/>
        </w:rPr>
        <w:t>réali</w:t>
      </w:r>
      <w:r w:rsidR="00790763">
        <w:rPr>
          <w:rFonts w:ascii="Arial" w:eastAsia="Verdana" w:hAnsi="Arial" w:cs="Arial"/>
          <w:lang w:val="fr-CA"/>
        </w:rPr>
        <w:t>s</w:t>
      </w:r>
      <w:r w:rsidR="002E680E">
        <w:rPr>
          <w:rFonts w:ascii="Arial" w:eastAsia="Verdana" w:hAnsi="Arial" w:cs="Arial"/>
          <w:lang w:val="fr-CA"/>
        </w:rPr>
        <w:t>ée</w:t>
      </w:r>
      <w:r w:rsidRPr="00797E32">
        <w:rPr>
          <w:rFonts w:ascii="Arial" w:eastAsia="Verdana" w:hAnsi="Arial" w:cs="Arial"/>
          <w:lang w:val="fr-CA"/>
        </w:rPr>
        <w:t xml:space="preserve"> et le développement du follicule </w:t>
      </w:r>
      <w:proofErr w:type="spellStart"/>
      <w:r w:rsidRPr="00797E32">
        <w:rPr>
          <w:rFonts w:ascii="Arial" w:eastAsia="Verdana" w:hAnsi="Arial" w:cs="Arial"/>
          <w:lang w:val="fr-CA"/>
        </w:rPr>
        <w:t>préovulatoire</w:t>
      </w:r>
      <w:proofErr w:type="spellEnd"/>
      <w:r w:rsidRPr="00797E32">
        <w:rPr>
          <w:rFonts w:ascii="Arial" w:eastAsia="Verdana" w:hAnsi="Arial" w:cs="Arial"/>
          <w:lang w:val="fr-CA"/>
        </w:rPr>
        <w:t xml:space="preserve"> et sa transformation en corps jaune peuvent être observés par échographie.</w:t>
      </w:r>
      <w:r w:rsidR="00E54D46">
        <w:rPr>
          <w:rFonts w:ascii="Arial" w:eastAsia="Verdana" w:hAnsi="Arial" w:cs="Arial"/>
          <w:lang w:val="fr-CA"/>
        </w:rPr>
        <w:t xml:space="preserve"> </w:t>
      </w:r>
      <w:r w:rsidR="0023657A">
        <w:rPr>
          <w:rFonts w:ascii="Arial" w:eastAsia="Verdana" w:hAnsi="Arial" w:cs="Arial"/>
          <w:lang w:val="fr-CA"/>
        </w:rPr>
        <w:t>Les</w:t>
      </w:r>
      <w:r w:rsidRPr="00797E32">
        <w:rPr>
          <w:rFonts w:ascii="Arial" w:eastAsia="Verdana" w:hAnsi="Arial" w:cs="Arial"/>
          <w:lang w:val="fr-CA"/>
        </w:rPr>
        <w:t xml:space="preserve"> changements particuliers de l'endomètre pourraient</w:t>
      </w:r>
      <w:r w:rsidR="0023657A">
        <w:rPr>
          <w:rFonts w:ascii="Arial" w:eastAsia="Verdana" w:hAnsi="Arial" w:cs="Arial"/>
          <w:lang w:val="fr-CA"/>
        </w:rPr>
        <w:t xml:space="preserve"> aussi</w:t>
      </w:r>
      <w:r w:rsidRPr="00797E32">
        <w:rPr>
          <w:rFonts w:ascii="Arial" w:eastAsia="Verdana" w:hAnsi="Arial" w:cs="Arial"/>
          <w:lang w:val="fr-CA"/>
        </w:rPr>
        <w:t xml:space="preserve"> être </w:t>
      </w:r>
      <w:r w:rsidR="00E54D46">
        <w:rPr>
          <w:rFonts w:ascii="Arial" w:eastAsia="Verdana" w:hAnsi="Arial" w:cs="Arial"/>
          <w:lang w:val="fr-CA"/>
        </w:rPr>
        <w:t>déterminé</w:t>
      </w:r>
      <w:r w:rsidRPr="00797E32">
        <w:rPr>
          <w:rFonts w:ascii="Arial" w:eastAsia="Verdana" w:hAnsi="Arial" w:cs="Arial"/>
          <w:lang w:val="fr-CA"/>
        </w:rPr>
        <w:t>s.</w:t>
      </w:r>
    </w:p>
    <w:p w14:paraId="321B6EB5" w14:textId="77777777" w:rsidR="002D2C22" w:rsidRPr="00797E32" w:rsidRDefault="002D2C22" w:rsidP="00545256">
      <w:pPr>
        <w:spacing w:after="0" w:line="240" w:lineRule="auto"/>
        <w:ind w:left="990"/>
        <w:jc w:val="both"/>
        <w:rPr>
          <w:rFonts w:ascii="Arial" w:hAnsi="Arial" w:cs="Arial"/>
          <w:lang w:val="fr-CA"/>
        </w:rPr>
      </w:pPr>
    </w:p>
    <w:p w14:paraId="75DFAFD5" w14:textId="43D6787C" w:rsidR="0073175B" w:rsidRPr="002D2C22" w:rsidRDefault="002374BF" w:rsidP="00545256">
      <w:pPr>
        <w:numPr>
          <w:ilvl w:val="0"/>
          <w:numId w:val="3"/>
        </w:numPr>
        <w:spacing w:after="0" w:line="240" w:lineRule="auto"/>
        <w:ind w:left="990" w:hanging="270"/>
        <w:jc w:val="both"/>
        <w:rPr>
          <w:rFonts w:ascii="Arial" w:hAnsi="Arial" w:cs="Arial"/>
          <w:lang w:val="fr-CA"/>
        </w:rPr>
      </w:pPr>
      <w:r>
        <w:rPr>
          <w:rFonts w:ascii="Arial" w:eastAsia="Verdana" w:hAnsi="Arial" w:cs="Arial"/>
          <w:lang w:val="fr-CA"/>
        </w:rPr>
        <w:t>Une</w:t>
      </w:r>
      <w:r w:rsidR="0023657A">
        <w:rPr>
          <w:rFonts w:ascii="Arial" w:eastAsia="Verdana" w:hAnsi="Arial" w:cs="Arial"/>
          <w:lang w:val="fr-CA"/>
        </w:rPr>
        <w:t xml:space="preserve"> </w:t>
      </w:r>
      <w:proofErr w:type="spellStart"/>
      <w:r>
        <w:rPr>
          <w:rFonts w:ascii="Arial" w:eastAsia="Verdana" w:hAnsi="Arial" w:cs="Arial"/>
          <w:lang w:val="fr-CA"/>
        </w:rPr>
        <w:t>hy</w:t>
      </w:r>
      <w:r w:rsidR="00265990" w:rsidRPr="007D1F47">
        <w:rPr>
          <w:rFonts w:ascii="Arial" w:eastAsia="Verdana" w:hAnsi="Arial" w:cs="Arial"/>
          <w:lang w:val="fr-CA"/>
        </w:rPr>
        <w:t>st</w:t>
      </w:r>
      <w:r>
        <w:rPr>
          <w:rFonts w:ascii="Arial" w:eastAsia="Verdana" w:hAnsi="Arial" w:cs="Arial"/>
          <w:lang w:val="fr-CA"/>
        </w:rPr>
        <w:t>é</w:t>
      </w:r>
      <w:r w:rsidR="00265990" w:rsidRPr="007D1F47">
        <w:rPr>
          <w:rFonts w:ascii="Arial" w:eastAsia="Verdana" w:hAnsi="Arial" w:cs="Arial"/>
          <w:lang w:val="fr-CA"/>
        </w:rPr>
        <w:t>rosalpingosonograph</w:t>
      </w:r>
      <w:r>
        <w:rPr>
          <w:rFonts w:ascii="Arial" w:eastAsia="Verdana" w:hAnsi="Arial" w:cs="Arial"/>
          <w:lang w:val="fr-CA"/>
        </w:rPr>
        <w:t>ie</w:t>
      </w:r>
      <w:proofErr w:type="spellEnd"/>
      <w:r>
        <w:rPr>
          <w:rFonts w:ascii="Arial" w:eastAsia="Verdana" w:hAnsi="Arial" w:cs="Arial"/>
          <w:lang w:val="fr-CA"/>
        </w:rPr>
        <w:t xml:space="preserve"> de contraste</w:t>
      </w:r>
      <w:r w:rsidR="00265990" w:rsidRPr="007D1F47">
        <w:rPr>
          <w:rFonts w:ascii="Arial" w:eastAsia="Verdana" w:hAnsi="Arial" w:cs="Arial"/>
          <w:lang w:val="fr-CA"/>
        </w:rPr>
        <w:t xml:space="preserve"> o</w:t>
      </w:r>
      <w:r w:rsidR="0023657A">
        <w:rPr>
          <w:rFonts w:ascii="Arial" w:eastAsia="Verdana" w:hAnsi="Arial" w:cs="Arial"/>
          <w:lang w:val="fr-CA"/>
        </w:rPr>
        <w:t>u une</w:t>
      </w:r>
      <w:r w:rsidR="00265990" w:rsidRPr="007D1F47">
        <w:rPr>
          <w:rFonts w:ascii="Arial" w:eastAsia="Verdana" w:hAnsi="Arial" w:cs="Arial"/>
          <w:lang w:val="fr-CA"/>
        </w:rPr>
        <w:t xml:space="preserve"> hyst</w:t>
      </w:r>
      <w:r w:rsidR="0023657A">
        <w:rPr>
          <w:rFonts w:ascii="Arial" w:eastAsia="Verdana" w:hAnsi="Arial" w:cs="Arial"/>
          <w:lang w:val="fr-CA"/>
        </w:rPr>
        <w:t>é</w:t>
      </w:r>
      <w:r w:rsidR="00265990" w:rsidRPr="007D1F47">
        <w:rPr>
          <w:rFonts w:ascii="Arial" w:eastAsia="Verdana" w:hAnsi="Arial" w:cs="Arial"/>
          <w:lang w:val="fr-CA"/>
        </w:rPr>
        <w:t>rosalpingograph</w:t>
      </w:r>
      <w:r w:rsidR="0023657A">
        <w:rPr>
          <w:rFonts w:ascii="Arial" w:eastAsia="Verdana" w:hAnsi="Arial" w:cs="Arial"/>
          <w:lang w:val="fr-CA"/>
        </w:rPr>
        <w:t>ie</w:t>
      </w:r>
      <w:r w:rsidR="00265990" w:rsidRPr="007D1F47">
        <w:rPr>
          <w:rFonts w:ascii="Arial" w:eastAsia="Verdana" w:hAnsi="Arial" w:cs="Arial"/>
          <w:lang w:val="fr-CA"/>
        </w:rPr>
        <w:t xml:space="preserve"> </w:t>
      </w:r>
      <w:r>
        <w:rPr>
          <w:rFonts w:ascii="Arial" w:eastAsia="Verdana" w:hAnsi="Arial" w:cs="Arial"/>
          <w:lang w:val="fr-CA"/>
        </w:rPr>
        <w:t xml:space="preserve">est réalisée pour </w:t>
      </w:r>
      <w:r w:rsidR="0023657A">
        <w:rPr>
          <w:rFonts w:ascii="Arial" w:eastAsia="Verdana" w:hAnsi="Arial" w:cs="Arial"/>
          <w:lang w:val="fr-CA"/>
        </w:rPr>
        <w:t xml:space="preserve">évaluer la cavité utérine et déceler une éventuelle obstruction tubaire. </w:t>
      </w:r>
      <w:r>
        <w:rPr>
          <w:rFonts w:ascii="Arial" w:eastAsia="Verdana" w:hAnsi="Arial" w:cs="Arial"/>
          <w:lang w:val="fr-CA"/>
        </w:rPr>
        <w:t xml:space="preserve">Il faut </w:t>
      </w:r>
      <w:r w:rsidR="00E54D46">
        <w:rPr>
          <w:rFonts w:ascii="Arial" w:eastAsia="Verdana" w:hAnsi="Arial" w:cs="Arial"/>
          <w:lang w:val="fr-CA"/>
        </w:rPr>
        <w:t>note</w:t>
      </w:r>
      <w:r>
        <w:rPr>
          <w:rFonts w:ascii="Arial" w:eastAsia="Verdana" w:hAnsi="Arial" w:cs="Arial"/>
          <w:lang w:val="fr-CA"/>
        </w:rPr>
        <w:t>r q</w:t>
      </w:r>
      <w:r w:rsidR="00E05D13">
        <w:rPr>
          <w:rFonts w:ascii="Arial" w:eastAsia="Verdana" w:hAnsi="Arial" w:cs="Arial"/>
          <w:lang w:val="fr-CA"/>
        </w:rPr>
        <w:t>u’un</w:t>
      </w:r>
      <w:r w:rsidR="00F83775">
        <w:rPr>
          <w:rFonts w:ascii="Arial" w:eastAsia="Verdana" w:hAnsi="Arial" w:cs="Arial"/>
          <w:lang w:val="fr-CA"/>
        </w:rPr>
        <w:t xml:space="preserve"> produit de contraste à base d’iode, comme </w:t>
      </w:r>
      <w:r w:rsidR="00265990" w:rsidRPr="007D1F47">
        <w:rPr>
          <w:rFonts w:ascii="Arial" w:eastAsia="Verdana" w:hAnsi="Arial" w:cs="Arial"/>
          <w:lang w:val="fr-CA"/>
        </w:rPr>
        <w:t>Lipiodol</w:t>
      </w:r>
      <w:r w:rsidR="00F83775">
        <w:rPr>
          <w:rFonts w:ascii="Arial" w:eastAsia="Verdana" w:hAnsi="Arial" w:cs="Arial"/>
          <w:lang w:val="fr-CA"/>
        </w:rPr>
        <w:t xml:space="preserve">, peut être utilisé </w:t>
      </w:r>
      <w:r w:rsidR="00E05D13">
        <w:rPr>
          <w:rFonts w:ascii="Arial" w:eastAsia="Verdana" w:hAnsi="Arial" w:cs="Arial"/>
          <w:lang w:val="fr-CA"/>
        </w:rPr>
        <w:t>aussi bien dans un but</w:t>
      </w:r>
      <w:r w:rsidR="00F83775">
        <w:rPr>
          <w:rFonts w:ascii="Arial" w:eastAsia="Verdana" w:hAnsi="Arial" w:cs="Arial"/>
          <w:lang w:val="fr-CA"/>
        </w:rPr>
        <w:t xml:space="preserve"> thérapeutique </w:t>
      </w:r>
      <w:r w:rsidR="00E05D13">
        <w:rPr>
          <w:rFonts w:ascii="Arial" w:eastAsia="Verdana" w:hAnsi="Arial" w:cs="Arial"/>
          <w:lang w:val="fr-CA"/>
        </w:rPr>
        <w:t xml:space="preserve">que diagnostique pour établir la perméabilité des trompes. Il existe </w:t>
      </w:r>
      <w:r w:rsidR="005D1FD0">
        <w:rPr>
          <w:rFonts w:ascii="Arial" w:eastAsia="Verdana" w:hAnsi="Arial" w:cs="Arial"/>
          <w:lang w:val="fr-CA"/>
        </w:rPr>
        <w:t>toutefois</w:t>
      </w:r>
      <w:r w:rsidR="00E05D13">
        <w:rPr>
          <w:rFonts w:ascii="Arial" w:eastAsia="Verdana" w:hAnsi="Arial" w:cs="Arial"/>
          <w:lang w:val="fr-CA"/>
        </w:rPr>
        <w:t xml:space="preserve"> un risque d’infection associé à l’emploi de ces méthodes. </w:t>
      </w:r>
    </w:p>
    <w:p w14:paraId="00114FB1" w14:textId="77777777" w:rsidR="002D2C22" w:rsidRPr="007D1F47" w:rsidRDefault="002D2C22" w:rsidP="005A3A6E">
      <w:pPr>
        <w:spacing w:after="0" w:line="240" w:lineRule="auto"/>
        <w:jc w:val="both"/>
        <w:rPr>
          <w:rFonts w:ascii="Arial" w:hAnsi="Arial" w:cs="Arial"/>
          <w:lang w:val="fr-CA"/>
        </w:rPr>
      </w:pPr>
    </w:p>
    <w:p w14:paraId="216985ED" w14:textId="02100DB0" w:rsidR="0073175B" w:rsidRDefault="00265990" w:rsidP="00545256">
      <w:pPr>
        <w:numPr>
          <w:ilvl w:val="0"/>
          <w:numId w:val="3"/>
        </w:numPr>
        <w:spacing w:after="0" w:line="240" w:lineRule="auto"/>
        <w:ind w:left="990" w:hanging="270"/>
        <w:jc w:val="both"/>
        <w:rPr>
          <w:rFonts w:ascii="Arial" w:eastAsia="Verdana" w:hAnsi="Arial" w:cs="Arial"/>
          <w:lang w:val="fr-CA"/>
        </w:rPr>
      </w:pPr>
      <w:r w:rsidRPr="007D1F47">
        <w:rPr>
          <w:rFonts w:ascii="Arial" w:eastAsia="Verdana" w:hAnsi="Arial" w:cs="Arial"/>
          <w:lang w:val="fr-CA"/>
        </w:rPr>
        <w:t>L</w:t>
      </w:r>
      <w:r w:rsidR="00E05D13">
        <w:rPr>
          <w:rFonts w:ascii="Arial" w:eastAsia="Verdana" w:hAnsi="Arial" w:cs="Arial"/>
          <w:lang w:val="fr-CA"/>
        </w:rPr>
        <w:t>a l</w:t>
      </w:r>
      <w:r w:rsidRPr="007D1F47">
        <w:rPr>
          <w:rFonts w:ascii="Arial" w:eastAsia="Verdana" w:hAnsi="Arial" w:cs="Arial"/>
          <w:lang w:val="fr-CA"/>
        </w:rPr>
        <w:t>aparoscop</w:t>
      </w:r>
      <w:r w:rsidR="00E05D13">
        <w:rPr>
          <w:rFonts w:ascii="Arial" w:eastAsia="Verdana" w:hAnsi="Arial" w:cs="Arial"/>
          <w:lang w:val="fr-CA"/>
        </w:rPr>
        <w:t xml:space="preserve">ie constitue la méthode la plus efficace pour diagnostiquer une affection </w:t>
      </w:r>
      <w:proofErr w:type="spellStart"/>
      <w:r w:rsidR="00E05D13">
        <w:rPr>
          <w:rFonts w:ascii="Arial" w:eastAsia="Verdana" w:hAnsi="Arial" w:cs="Arial"/>
          <w:lang w:val="fr-CA"/>
        </w:rPr>
        <w:t>tubopéritonéale</w:t>
      </w:r>
      <w:proofErr w:type="spellEnd"/>
      <w:r w:rsidR="00004A34">
        <w:rPr>
          <w:rFonts w:ascii="Arial" w:eastAsia="Verdana" w:hAnsi="Arial" w:cs="Arial"/>
          <w:lang w:val="fr-CA"/>
        </w:rPr>
        <w:t>,</w:t>
      </w:r>
      <w:r w:rsidR="00E05D13">
        <w:rPr>
          <w:rFonts w:ascii="Arial" w:eastAsia="Verdana" w:hAnsi="Arial" w:cs="Arial"/>
          <w:lang w:val="fr-CA"/>
        </w:rPr>
        <w:t xml:space="preserve"> </w:t>
      </w:r>
      <w:r w:rsidR="00004A34">
        <w:rPr>
          <w:rFonts w:ascii="Arial" w:eastAsia="Verdana" w:hAnsi="Arial" w:cs="Arial"/>
          <w:lang w:val="fr-CA"/>
        </w:rPr>
        <w:t xml:space="preserve">par exemple liée à une infection antérieure ou à une </w:t>
      </w:r>
      <w:r w:rsidRPr="007D1F47">
        <w:rPr>
          <w:rFonts w:ascii="Arial" w:eastAsia="Verdana" w:hAnsi="Arial" w:cs="Arial"/>
          <w:lang w:val="fr-CA"/>
        </w:rPr>
        <w:t>endom</w:t>
      </w:r>
      <w:r w:rsidR="00004A34">
        <w:rPr>
          <w:rFonts w:ascii="Arial" w:eastAsia="Verdana" w:hAnsi="Arial" w:cs="Arial"/>
          <w:lang w:val="fr-CA"/>
        </w:rPr>
        <w:t>étriose</w:t>
      </w:r>
      <w:r w:rsidRPr="007D1F47">
        <w:rPr>
          <w:rFonts w:ascii="Arial" w:eastAsia="Verdana" w:hAnsi="Arial" w:cs="Arial"/>
          <w:lang w:val="fr-CA"/>
        </w:rPr>
        <w:t xml:space="preserve">. </w:t>
      </w:r>
      <w:r w:rsidR="00004A34">
        <w:rPr>
          <w:rFonts w:ascii="Arial" w:eastAsia="Verdana" w:hAnsi="Arial" w:cs="Arial"/>
          <w:lang w:val="fr-CA"/>
        </w:rPr>
        <w:t xml:space="preserve">Cela dit, </w:t>
      </w:r>
      <w:r w:rsidR="005D1FD0">
        <w:rPr>
          <w:rFonts w:ascii="Arial" w:eastAsia="Verdana" w:hAnsi="Arial" w:cs="Arial"/>
          <w:lang w:val="fr-CA"/>
        </w:rPr>
        <w:t xml:space="preserve">comme </w:t>
      </w:r>
      <w:r w:rsidR="008A1689">
        <w:rPr>
          <w:rFonts w:ascii="Arial" w:eastAsia="Verdana" w:hAnsi="Arial" w:cs="Arial"/>
          <w:lang w:val="fr-CA"/>
        </w:rPr>
        <w:t>la laparoscopie peut entraîner des</w:t>
      </w:r>
      <w:r w:rsidR="00004A34">
        <w:rPr>
          <w:rFonts w:ascii="Arial" w:eastAsia="Verdana" w:hAnsi="Arial" w:cs="Arial"/>
          <w:lang w:val="fr-CA"/>
        </w:rPr>
        <w:t xml:space="preserve"> complications </w:t>
      </w:r>
      <w:r w:rsidR="008A1689">
        <w:rPr>
          <w:rFonts w:ascii="Arial" w:eastAsia="Verdana" w:hAnsi="Arial" w:cs="Arial"/>
          <w:lang w:val="fr-CA"/>
        </w:rPr>
        <w:t>comme des lésions aux vaisseaux, aux intestins et aux voies urinaires</w:t>
      </w:r>
      <w:r w:rsidR="005D1FD0">
        <w:rPr>
          <w:rFonts w:ascii="Arial" w:eastAsia="Verdana" w:hAnsi="Arial" w:cs="Arial"/>
          <w:lang w:val="fr-CA"/>
        </w:rPr>
        <w:t>, o</w:t>
      </w:r>
      <w:r w:rsidR="008A1689">
        <w:rPr>
          <w:rFonts w:ascii="Arial" w:eastAsia="Verdana" w:hAnsi="Arial" w:cs="Arial"/>
          <w:lang w:val="fr-CA"/>
        </w:rPr>
        <w:t xml:space="preserve">n y a </w:t>
      </w:r>
      <w:r w:rsidR="005D1FD0">
        <w:rPr>
          <w:rFonts w:ascii="Arial" w:eastAsia="Verdana" w:hAnsi="Arial" w:cs="Arial"/>
          <w:lang w:val="fr-CA"/>
        </w:rPr>
        <w:t>rarement</w:t>
      </w:r>
      <w:r w:rsidR="00004A34">
        <w:rPr>
          <w:rFonts w:ascii="Arial" w:eastAsia="Verdana" w:hAnsi="Arial" w:cs="Arial"/>
          <w:lang w:val="fr-CA"/>
        </w:rPr>
        <w:t xml:space="preserve"> recours </w:t>
      </w:r>
      <w:r w:rsidR="008A1689">
        <w:rPr>
          <w:rFonts w:ascii="Arial" w:eastAsia="Verdana" w:hAnsi="Arial" w:cs="Arial"/>
          <w:lang w:val="fr-CA"/>
        </w:rPr>
        <w:t>l</w:t>
      </w:r>
      <w:r w:rsidR="00004A34">
        <w:rPr>
          <w:rFonts w:ascii="Arial" w:eastAsia="Verdana" w:hAnsi="Arial" w:cs="Arial"/>
          <w:lang w:val="fr-CA"/>
        </w:rPr>
        <w:t xml:space="preserve">orsque des tests non </w:t>
      </w:r>
      <w:proofErr w:type="spellStart"/>
      <w:r w:rsidR="00AD6AD6">
        <w:rPr>
          <w:rFonts w:ascii="Arial" w:eastAsia="Verdana" w:hAnsi="Arial" w:cs="Arial"/>
          <w:lang w:val="fr-CA"/>
        </w:rPr>
        <w:t>effractif</w:t>
      </w:r>
      <w:r w:rsidR="00004A34">
        <w:rPr>
          <w:rFonts w:ascii="Arial" w:eastAsia="Verdana" w:hAnsi="Arial" w:cs="Arial"/>
          <w:lang w:val="fr-CA"/>
        </w:rPr>
        <w:t>s</w:t>
      </w:r>
      <w:proofErr w:type="spellEnd"/>
      <w:r w:rsidR="00004A34">
        <w:rPr>
          <w:rFonts w:ascii="Arial" w:eastAsia="Verdana" w:hAnsi="Arial" w:cs="Arial"/>
          <w:lang w:val="fr-CA"/>
        </w:rPr>
        <w:t xml:space="preserve"> </w:t>
      </w:r>
      <w:r w:rsidR="008A1689">
        <w:rPr>
          <w:rFonts w:ascii="Arial" w:eastAsia="Verdana" w:hAnsi="Arial" w:cs="Arial"/>
          <w:lang w:val="fr-CA"/>
        </w:rPr>
        <w:t>peuvent suffire.</w:t>
      </w:r>
    </w:p>
    <w:p w14:paraId="1FA6B4D8" w14:textId="77777777" w:rsidR="002D2C22" w:rsidRDefault="002D2C22" w:rsidP="00545256">
      <w:pPr>
        <w:spacing w:after="0" w:line="240" w:lineRule="auto"/>
        <w:ind w:left="990"/>
        <w:jc w:val="both"/>
        <w:rPr>
          <w:rFonts w:ascii="Arial" w:eastAsia="Verdana" w:hAnsi="Arial" w:cs="Arial"/>
          <w:lang w:val="fr-CA"/>
        </w:rPr>
      </w:pPr>
    </w:p>
    <w:p w14:paraId="45E63F92" w14:textId="0CE94EA7" w:rsidR="005A3A6E" w:rsidRDefault="00AD6AD6" w:rsidP="005A3A6E">
      <w:pPr>
        <w:pStyle w:val="CommentText"/>
        <w:numPr>
          <w:ilvl w:val="0"/>
          <w:numId w:val="3"/>
        </w:numPr>
        <w:spacing w:after="0"/>
        <w:ind w:left="990" w:hanging="270"/>
        <w:jc w:val="both"/>
        <w:rPr>
          <w:rFonts w:ascii="Arial" w:hAnsi="Arial" w:cs="Arial"/>
          <w:sz w:val="22"/>
          <w:szCs w:val="22"/>
          <w:lang w:val="fr-CA"/>
        </w:rPr>
      </w:pPr>
      <w:r>
        <w:rPr>
          <w:rFonts w:ascii="Arial" w:eastAsia="Verdana" w:hAnsi="Arial" w:cs="Arial"/>
          <w:sz w:val="22"/>
          <w:szCs w:val="22"/>
          <w:lang w:val="fr-CA"/>
        </w:rPr>
        <w:t>L’h</w:t>
      </w:r>
      <w:r w:rsidR="00060091" w:rsidRPr="007D1F47">
        <w:rPr>
          <w:rFonts w:ascii="Arial" w:eastAsia="Verdana" w:hAnsi="Arial" w:cs="Arial"/>
          <w:sz w:val="22"/>
          <w:szCs w:val="22"/>
          <w:lang w:val="fr-CA"/>
        </w:rPr>
        <w:t>yst</w:t>
      </w:r>
      <w:r>
        <w:rPr>
          <w:rFonts w:ascii="Arial" w:eastAsia="Verdana" w:hAnsi="Arial" w:cs="Arial"/>
          <w:sz w:val="22"/>
          <w:szCs w:val="22"/>
          <w:lang w:val="fr-CA"/>
        </w:rPr>
        <w:t>é</w:t>
      </w:r>
      <w:r w:rsidR="00060091" w:rsidRPr="007D1F47">
        <w:rPr>
          <w:rFonts w:ascii="Arial" w:eastAsia="Verdana" w:hAnsi="Arial" w:cs="Arial"/>
          <w:sz w:val="22"/>
          <w:szCs w:val="22"/>
          <w:lang w:val="fr-CA"/>
        </w:rPr>
        <w:t>roscop</w:t>
      </w:r>
      <w:r>
        <w:rPr>
          <w:rFonts w:ascii="Arial" w:eastAsia="Verdana" w:hAnsi="Arial" w:cs="Arial"/>
          <w:sz w:val="22"/>
          <w:szCs w:val="22"/>
          <w:lang w:val="fr-CA"/>
        </w:rPr>
        <w:t xml:space="preserve">ie </w:t>
      </w:r>
      <w:r w:rsidR="00F1435B">
        <w:rPr>
          <w:rFonts w:ascii="Arial" w:eastAsia="Verdana" w:hAnsi="Arial" w:cs="Arial"/>
          <w:sz w:val="22"/>
          <w:szCs w:val="22"/>
          <w:lang w:val="fr-CA"/>
        </w:rPr>
        <w:t xml:space="preserve">constitue </w:t>
      </w:r>
      <w:r>
        <w:rPr>
          <w:rFonts w:ascii="Arial" w:eastAsia="Verdana" w:hAnsi="Arial" w:cs="Arial"/>
          <w:sz w:val="22"/>
          <w:szCs w:val="22"/>
          <w:lang w:val="fr-CA"/>
        </w:rPr>
        <w:t>à la fois un outil diagnostique et un traitement, puisque</w:t>
      </w:r>
      <w:r w:rsidR="00F1435B">
        <w:rPr>
          <w:rFonts w:ascii="Arial" w:eastAsia="Verdana" w:hAnsi="Arial" w:cs="Arial"/>
          <w:sz w:val="22"/>
          <w:szCs w:val="22"/>
          <w:lang w:val="fr-CA"/>
        </w:rPr>
        <w:t xml:space="preserve"> </w:t>
      </w:r>
      <w:r>
        <w:rPr>
          <w:rFonts w:ascii="Arial" w:eastAsia="Verdana" w:hAnsi="Arial" w:cs="Arial"/>
          <w:sz w:val="22"/>
          <w:szCs w:val="22"/>
          <w:lang w:val="fr-CA"/>
        </w:rPr>
        <w:t xml:space="preserve">cette technique peut être utilisée pour </w:t>
      </w:r>
      <w:r w:rsidR="00F1435B">
        <w:rPr>
          <w:rFonts w:ascii="Arial" w:eastAsia="Verdana" w:hAnsi="Arial" w:cs="Arial"/>
          <w:sz w:val="22"/>
          <w:szCs w:val="22"/>
          <w:lang w:val="fr-CA"/>
        </w:rPr>
        <w:t>retirer des anomalies intra-utérines comme des polypes ou des fibromes</w:t>
      </w:r>
      <w:r w:rsidR="00060091" w:rsidRPr="007D1F47">
        <w:rPr>
          <w:rFonts w:ascii="Arial" w:hAnsi="Arial" w:cs="Arial"/>
          <w:sz w:val="22"/>
          <w:szCs w:val="22"/>
          <w:lang w:val="fr-CA"/>
        </w:rPr>
        <w:t>.</w:t>
      </w:r>
    </w:p>
    <w:p w14:paraId="6D7B2652" w14:textId="77777777" w:rsidR="005A3A6E" w:rsidRDefault="005A3A6E"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br w:type="page"/>
      </w:r>
    </w:p>
    <w:p w14:paraId="7B615BB4" w14:textId="66EC4FD2" w:rsidR="0073175B" w:rsidRPr="007D1F47" w:rsidRDefault="007D1F47" w:rsidP="0054525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color w:val="000000"/>
          <w:lang w:val="fr-CA"/>
        </w:rPr>
      </w:pPr>
      <w:r>
        <w:rPr>
          <w:rFonts w:ascii="Arial" w:eastAsia="Verdana" w:hAnsi="Arial" w:cs="Arial"/>
          <w:b/>
          <w:lang w:val="fr-CA"/>
        </w:rPr>
        <w:t>Épreuves de l</w:t>
      </w:r>
      <w:r w:rsidR="00265990" w:rsidRPr="007D1F47">
        <w:rPr>
          <w:rFonts w:ascii="Arial" w:eastAsia="Verdana" w:hAnsi="Arial" w:cs="Arial"/>
          <w:b/>
          <w:lang w:val="fr-CA"/>
        </w:rPr>
        <w:t>aborato</w:t>
      </w:r>
      <w:r>
        <w:rPr>
          <w:rFonts w:ascii="Arial" w:eastAsia="Verdana" w:hAnsi="Arial" w:cs="Arial"/>
          <w:b/>
          <w:lang w:val="fr-CA"/>
        </w:rPr>
        <w:t>ire</w:t>
      </w:r>
    </w:p>
    <w:p w14:paraId="61080525" w14:textId="77777777" w:rsidR="0073175B" w:rsidRPr="007D1F47" w:rsidRDefault="0073175B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000000"/>
          <w:lang w:val="fr-CA"/>
        </w:rPr>
      </w:pPr>
    </w:p>
    <w:p w14:paraId="032C1531" w14:textId="1614AADA" w:rsidR="001D48D4" w:rsidRDefault="000058F6" w:rsidP="00545256">
      <w:pPr>
        <w:spacing w:after="0" w:line="240" w:lineRule="auto"/>
        <w:ind w:left="72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L’évaluation de la réserve ovarienne </w:t>
      </w:r>
      <w:r w:rsidR="008B00DD">
        <w:rPr>
          <w:rFonts w:ascii="Arial" w:eastAsia="Verdana" w:hAnsi="Arial" w:cs="Arial"/>
          <w:lang w:val="fr-CA"/>
        </w:rPr>
        <w:t xml:space="preserve">est une pratique </w:t>
      </w:r>
      <w:r w:rsidR="00B01628">
        <w:rPr>
          <w:rFonts w:ascii="Arial" w:eastAsia="Verdana" w:hAnsi="Arial" w:cs="Arial"/>
          <w:lang w:val="fr-CA"/>
        </w:rPr>
        <w:t>de référence</w:t>
      </w:r>
      <w:r w:rsidR="008B00DD">
        <w:rPr>
          <w:rFonts w:ascii="Arial" w:eastAsia="Verdana" w:hAnsi="Arial" w:cs="Arial"/>
          <w:lang w:val="fr-CA"/>
        </w:rPr>
        <w:t xml:space="preserve"> dans le cadre d’un bilan d’infertilité. </w:t>
      </w:r>
      <w:r w:rsidR="00B01628">
        <w:rPr>
          <w:rFonts w:ascii="Arial" w:eastAsia="Verdana" w:hAnsi="Arial" w:cs="Arial"/>
          <w:lang w:val="fr-CA"/>
        </w:rPr>
        <w:t>L</w:t>
      </w:r>
      <w:r>
        <w:rPr>
          <w:rFonts w:ascii="Arial" w:eastAsia="Verdana" w:hAnsi="Arial" w:cs="Arial"/>
          <w:lang w:val="fr-CA"/>
        </w:rPr>
        <w:t xml:space="preserve">a réserve ovarienne est estimée </w:t>
      </w:r>
      <w:r w:rsidR="008B00DD">
        <w:rPr>
          <w:rFonts w:ascii="Arial" w:eastAsia="Verdana" w:hAnsi="Arial" w:cs="Arial"/>
          <w:lang w:val="fr-CA"/>
        </w:rPr>
        <w:t xml:space="preserve">par </w:t>
      </w:r>
      <w:r w:rsidR="00790763">
        <w:rPr>
          <w:rFonts w:ascii="Arial" w:eastAsia="Verdana" w:hAnsi="Arial" w:cs="Arial"/>
          <w:lang w:val="fr-CA"/>
        </w:rPr>
        <w:t>un d</w:t>
      </w:r>
      <w:r w:rsidR="008B00DD">
        <w:rPr>
          <w:rFonts w:ascii="Arial" w:eastAsia="Verdana" w:hAnsi="Arial" w:cs="Arial"/>
          <w:lang w:val="fr-CA"/>
        </w:rPr>
        <w:t>osage sérique de</w:t>
      </w:r>
      <w:r w:rsidR="00A338BC">
        <w:rPr>
          <w:rFonts w:ascii="Arial" w:eastAsia="Verdana" w:hAnsi="Arial" w:cs="Arial"/>
          <w:lang w:val="fr-CA"/>
        </w:rPr>
        <w:t xml:space="preserve">s </w:t>
      </w:r>
      <w:r w:rsidR="008B00DD">
        <w:rPr>
          <w:rFonts w:ascii="Arial" w:eastAsia="Verdana" w:hAnsi="Arial" w:cs="Arial"/>
          <w:lang w:val="fr-CA"/>
        </w:rPr>
        <w:t>hormone</w:t>
      </w:r>
      <w:r w:rsidR="00A338BC">
        <w:rPr>
          <w:rFonts w:ascii="Arial" w:eastAsia="Verdana" w:hAnsi="Arial" w:cs="Arial"/>
          <w:lang w:val="fr-CA"/>
        </w:rPr>
        <w:t>s</w:t>
      </w:r>
      <w:r w:rsidR="008B00DD">
        <w:rPr>
          <w:rFonts w:ascii="Arial" w:eastAsia="Verdana" w:hAnsi="Arial" w:cs="Arial"/>
          <w:lang w:val="fr-CA"/>
        </w:rPr>
        <w:t xml:space="preserve"> </w:t>
      </w:r>
      <w:r w:rsidR="007A38ED">
        <w:rPr>
          <w:rFonts w:ascii="Arial" w:eastAsia="Verdana" w:hAnsi="Arial" w:cs="Arial"/>
          <w:lang w:val="fr-CA"/>
        </w:rPr>
        <w:t>antimüllérienne</w:t>
      </w:r>
      <w:r w:rsidR="008B00DD">
        <w:rPr>
          <w:rFonts w:ascii="Arial" w:eastAsia="Verdana" w:hAnsi="Arial" w:cs="Arial"/>
          <w:lang w:val="fr-CA"/>
        </w:rPr>
        <w:t xml:space="preserve"> (AMH) et folliculos</w:t>
      </w:r>
      <w:r w:rsidR="00265990" w:rsidRPr="007D1F47">
        <w:rPr>
          <w:rFonts w:ascii="Arial" w:eastAsia="Verdana" w:hAnsi="Arial" w:cs="Arial"/>
          <w:lang w:val="fr-CA"/>
        </w:rPr>
        <w:t>timul</w:t>
      </w:r>
      <w:r w:rsidR="008B00DD">
        <w:rPr>
          <w:rFonts w:ascii="Arial" w:eastAsia="Verdana" w:hAnsi="Arial" w:cs="Arial"/>
          <w:lang w:val="fr-CA"/>
        </w:rPr>
        <w:t>ante (</w:t>
      </w:r>
      <w:r w:rsidR="00265990" w:rsidRPr="007D1F47">
        <w:rPr>
          <w:rFonts w:ascii="Arial" w:eastAsia="Verdana" w:hAnsi="Arial" w:cs="Arial"/>
          <w:lang w:val="fr-CA"/>
        </w:rPr>
        <w:t xml:space="preserve">FSH) </w:t>
      </w:r>
      <w:r w:rsidR="00BC2544">
        <w:rPr>
          <w:rFonts w:ascii="Arial" w:eastAsia="Verdana" w:hAnsi="Arial" w:cs="Arial"/>
          <w:lang w:val="fr-CA"/>
        </w:rPr>
        <w:t xml:space="preserve">les </w:t>
      </w:r>
      <w:r w:rsidR="008B00DD">
        <w:rPr>
          <w:rFonts w:ascii="Arial" w:eastAsia="Verdana" w:hAnsi="Arial" w:cs="Arial"/>
          <w:lang w:val="fr-CA"/>
        </w:rPr>
        <w:t>jours 3 et 5 du cycle menstruel</w:t>
      </w:r>
      <w:r w:rsidR="0005177B">
        <w:rPr>
          <w:rFonts w:ascii="Arial" w:eastAsia="Verdana" w:hAnsi="Arial" w:cs="Arial"/>
          <w:lang w:val="fr-CA"/>
        </w:rPr>
        <w:t xml:space="preserve"> </w:t>
      </w:r>
      <w:r w:rsidR="00790763">
        <w:rPr>
          <w:rFonts w:ascii="Arial" w:eastAsia="Verdana" w:hAnsi="Arial" w:cs="Arial"/>
          <w:lang w:val="fr-CA"/>
        </w:rPr>
        <w:t>jumelé à une</w:t>
      </w:r>
      <w:r w:rsidR="00B01628">
        <w:rPr>
          <w:rFonts w:ascii="Arial" w:eastAsia="Verdana" w:hAnsi="Arial" w:cs="Arial"/>
          <w:lang w:val="fr-CA"/>
        </w:rPr>
        <w:t xml:space="preserve"> </w:t>
      </w:r>
      <w:r w:rsidR="00790763">
        <w:rPr>
          <w:rFonts w:ascii="Arial" w:eastAsia="Verdana" w:hAnsi="Arial" w:cs="Arial"/>
          <w:lang w:val="fr-CA"/>
        </w:rPr>
        <w:t>numération des follicules antraux</w:t>
      </w:r>
      <w:r w:rsidR="00B01628">
        <w:rPr>
          <w:rFonts w:ascii="Arial" w:eastAsia="Verdana" w:hAnsi="Arial" w:cs="Arial"/>
          <w:lang w:val="fr-CA"/>
        </w:rPr>
        <w:t xml:space="preserve"> sous échographie.</w:t>
      </w:r>
      <w:r w:rsidR="007A38ED">
        <w:rPr>
          <w:rFonts w:ascii="Arial" w:eastAsia="Verdana" w:hAnsi="Arial" w:cs="Arial"/>
          <w:lang w:val="fr-CA"/>
        </w:rPr>
        <w:t xml:space="preserve"> </w:t>
      </w:r>
      <w:r w:rsidR="002E680E">
        <w:rPr>
          <w:rFonts w:ascii="Arial" w:eastAsia="Verdana" w:hAnsi="Arial" w:cs="Arial"/>
          <w:lang w:val="fr-CA"/>
        </w:rPr>
        <w:t>L’o</w:t>
      </w:r>
      <w:r w:rsidR="00265990" w:rsidRPr="007D1F47">
        <w:rPr>
          <w:rFonts w:ascii="Arial" w:eastAsia="Verdana" w:hAnsi="Arial" w:cs="Arial"/>
          <w:lang w:val="fr-CA"/>
        </w:rPr>
        <w:t xml:space="preserve">vulation </w:t>
      </w:r>
      <w:r w:rsidR="002E680E">
        <w:rPr>
          <w:rFonts w:ascii="Arial" w:eastAsia="Verdana" w:hAnsi="Arial" w:cs="Arial"/>
          <w:lang w:val="fr-CA"/>
        </w:rPr>
        <w:t xml:space="preserve">est confirmée par une augmentation du taux sérique de progestérone </w:t>
      </w:r>
      <w:r w:rsidR="0005177B">
        <w:rPr>
          <w:rFonts w:ascii="Arial" w:eastAsia="Verdana" w:hAnsi="Arial" w:cs="Arial"/>
          <w:lang w:val="fr-CA"/>
        </w:rPr>
        <w:t xml:space="preserve">au milieu de la phase lutéale, environ une semaine avant le début des prochaines menstruations. </w:t>
      </w:r>
    </w:p>
    <w:p w14:paraId="1198C6DE" w14:textId="77777777" w:rsidR="0005177B" w:rsidRPr="007D1F47" w:rsidRDefault="0005177B" w:rsidP="00545256">
      <w:pPr>
        <w:spacing w:after="0" w:line="240" w:lineRule="auto"/>
        <w:ind w:left="720"/>
        <w:jc w:val="both"/>
        <w:rPr>
          <w:rFonts w:ascii="Arial" w:eastAsia="Verdana" w:hAnsi="Arial" w:cs="Arial"/>
          <w:lang w:val="fr-CA"/>
        </w:rPr>
      </w:pPr>
    </w:p>
    <w:p w14:paraId="2CC9D4B3" w14:textId="136F55D6" w:rsidR="00E16286" w:rsidRPr="007D1F47" w:rsidRDefault="0005177B" w:rsidP="00545256">
      <w:pPr>
        <w:spacing w:after="0" w:line="240" w:lineRule="auto"/>
        <w:ind w:left="72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>Selon la cause sous-jacente de l’infertilité féminine, d’autres épreuves de laboratoire pourraient être nécessaires, notamment</w:t>
      </w:r>
      <w:r w:rsidR="0024486B">
        <w:rPr>
          <w:rFonts w:ascii="Arial" w:eastAsia="Verdana" w:hAnsi="Arial" w:cs="Arial"/>
          <w:lang w:val="fr-CA"/>
        </w:rPr>
        <w:t xml:space="preserve"> un dosage de l</w:t>
      </w:r>
      <w:r>
        <w:rPr>
          <w:rFonts w:ascii="Arial" w:eastAsia="Verdana" w:hAnsi="Arial" w:cs="Arial"/>
          <w:lang w:val="fr-CA"/>
        </w:rPr>
        <w:t>’hormone</w:t>
      </w:r>
      <w:r w:rsidR="008535DD">
        <w:rPr>
          <w:rFonts w:ascii="Arial" w:eastAsia="Verdana" w:hAnsi="Arial" w:cs="Arial"/>
          <w:lang w:val="fr-CA"/>
        </w:rPr>
        <w:t xml:space="preserve"> lutéinisante (LH), d</w:t>
      </w:r>
      <w:r w:rsidR="0024486B">
        <w:rPr>
          <w:rFonts w:ascii="Arial" w:eastAsia="Verdana" w:hAnsi="Arial" w:cs="Arial"/>
          <w:lang w:val="fr-CA"/>
        </w:rPr>
        <w:t>e l</w:t>
      </w:r>
      <w:r w:rsidR="008535DD">
        <w:rPr>
          <w:rFonts w:ascii="Arial" w:eastAsia="Verdana" w:hAnsi="Arial" w:cs="Arial"/>
          <w:lang w:val="fr-CA"/>
        </w:rPr>
        <w:t xml:space="preserve">’œstradiol, de </w:t>
      </w:r>
      <w:r w:rsidR="0024486B">
        <w:rPr>
          <w:rFonts w:ascii="Arial" w:eastAsia="Verdana" w:hAnsi="Arial" w:cs="Arial"/>
          <w:lang w:val="fr-CA"/>
        </w:rPr>
        <w:t>la p</w:t>
      </w:r>
      <w:r w:rsidR="00265990" w:rsidRPr="007D1F47">
        <w:rPr>
          <w:rFonts w:ascii="Arial" w:eastAsia="Verdana" w:hAnsi="Arial" w:cs="Arial"/>
          <w:lang w:val="fr-CA"/>
        </w:rPr>
        <w:t>rolactin</w:t>
      </w:r>
      <w:r w:rsidR="008535DD">
        <w:rPr>
          <w:rFonts w:ascii="Arial" w:eastAsia="Verdana" w:hAnsi="Arial" w:cs="Arial"/>
          <w:lang w:val="fr-CA"/>
        </w:rPr>
        <w:t>e</w:t>
      </w:r>
      <w:r w:rsidR="00265990" w:rsidRPr="007D1F47">
        <w:rPr>
          <w:rFonts w:ascii="Arial" w:eastAsia="Verdana" w:hAnsi="Arial" w:cs="Arial"/>
          <w:lang w:val="fr-CA"/>
        </w:rPr>
        <w:t>,</w:t>
      </w:r>
      <w:r w:rsidR="008535DD">
        <w:rPr>
          <w:rFonts w:ascii="Arial" w:eastAsia="Verdana" w:hAnsi="Arial" w:cs="Arial"/>
          <w:lang w:val="fr-CA"/>
        </w:rPr>
        <w:t xml:space="preserve"> de </w:t>
      </w:r>
      <w:r w:rsidR="0024486B">
        <w:rPr>
          <w:rFonts w:ascii="Arial" w:eastAsia="Verdana" w:hAnsi="Arial" w:cs="Arial"/>
          <w:lang w:val="fr-CA"/>
        </w:rPr>
        <w:t xml:space="preserve">la </w:t>
      </w:r>
      <w:r w:rsidR="00265990" w:rsidRPr="007D1F47">
        <w:rPr>
          <w:rFonts w:ascii="Arial" w:eastAsia="Verdana" w:hAnsi="Arial" w:cs="Arial"/>
          <w:lang w:val="fr-CA"/>
        </w:rPr>
        <w:t>testost</w:t>
      </w:r>
      <w:r w:rsidR="008535DD">
        <w:rPr>
          <w:rFonts w:ascii="Arial" w:eastAsia="Verdana" w:hAnsi="Arial" w:cs="Arial"/>
          <w:lang w:val="fr-CA"/>
        </w:rPr>
        <w:t>é</w:t>
      </w:r>
      <w:r w:rsidR="00265990" w:rsidRPr="007D1F47">
        <w:rPr>
          <w:rFonts w:ascii="Arial" w:eastAsia="Verdana" w:hAnsi="Arial" w:cs="Arial"/>
          <w:lang w:val="fr-CA"/>
        </w:rPr>
        <w:t>rone</w:t>
      </w:r>
      <w:r w:rsidR="0024486B">
        <w:rPr>
          <w:rFonts w:ascii="Arial" w:eastAsia="Verdana" w:hAnsi="Arial" w:cs="Arial"/>
          <w:lang w:val="fr-CA"/>
        </w:rPr>
        <w:t xml:space="preserve"> et </w:t>
      </w:r>
      <w:r w:rsidR="008535DD">
        <w:rPr>
          <w:rFonts w:ascii="Arial" w:eastAsia="Verdana" w:hAnsi="Arial" w:cs="Arial"/>
          <w:lang w:val="fr-CA"/>
        </w:rPr>
        <w:t xml:space="preserve">de </w:t>
      </w:r>
      <w:r w:rsidR="0024486B">
        <w:rPr>
          <w:rFonts w:ascii="Arial" w:eastAsia="Verdana" w:hAnsi="Arial" w:cs="Arial"/>
          <w:lang w:val="fr-CA"/>
        </w:rPr>
        <w:t xml:space="preserve">la </w:t>
      </w:r>
      <w:r w:rsidR="008535DD">
        <w:rPr>
          <w:rFonts w:ascii="Arial" w:eastAsia="Verdana" w:hAnsi="Arial" w:cs="Arial"/>
          <w:lang w:val="fr-CA"/>
        </w:rPr>
        <w:t>globuline liant des hormones sexuelles (</w:t>
      </w:r>
      <w:r w:rsidR="00265990" w:rsidRPr="007D1F47">
        <w:rPr>
          <w:rFonts w:ascii="Arial" w:eastAsia="Verdana" w:hAnsi="Arial" w:cs="Arial"/>
          <w:lang w:val="fr-CA"/>
        </w:rPr>
        <w:t>SHBG)</w:t>
      </w:r>
      <w:r w:rsidR="0024486B">
        <w:rPr>
          <w:rFonts w:ascii="Arial" w:eastAsia="Verdana" w:hAnsi="Arial" w:cs="Arial"/>
          <w:lang w:val="fr-CA"/>
        </w:rPr>
        <w:t xml:space="preserve">, ainsi qu’un bilan </w:t>
      </w:r>
      <w:r w:rsidR="0024486B" w:rsidRPr="007D1F47">
        <w:rPr>
          <w:rFonts w:ascii="Arial" w:eastAsia="Verdana" w:hAnsi="Arial" w:cs="Arial"/>
          <w:lang w:val="fr-CA"/>
        </w:rPr>
        <w:t>thyro</w:t>
      </w:r>
      <w:r w:rsidR="0024486B">
        <w:rPr>
          <w:rFonts w:ascii="Arial" w:eastAsia="Verdana" w:hAnsi="Arial" w:cs="Arial"/>
          <w:lang w:val="fr-CA"/>
        </w:rPr>
        <w:t>ï</w:t>
      </w:r>
      <w:r w:rsidR="0024486B" w:rsidRPr="007D1F47">
        <w:rPr>
          <w:rFonts w:ascii="Arial" w:eastAsia="Verdana" w:hAnsi="Arial" w:cs="Arial"/>
          <w:lang w:val="fr-CA"/>
        </w:rPr>
        <w:t>d</w:t>
      </w:r>
      <w:r w:rsidR="0024486B">
        <w:rPr>
          <w:rFonts w:ascii="Arial" w:eastAsia="Verdana" w:hAnsi="Arial" w:cs="Arial"/>
          <w:lang w:val="fr-CA"/>
        </w:rPr>
        <w:t xml:space="preserve">ien </w:t>
      </w:r>
      <w:r w:rsidR="0024486B" w:rsidRPr="007D1F47">
        <w:rPr>
          <w:rFonts w:ascii="Arial" w:eastAsia="Verdana" w:hAnsi="Arial" w:cs="Arial"/>
          <w:lang w:val="fr-CA"/>
        </w:rPr>
        <w:t xml:space="preserve">(TSH </w:t>
      </w:r>
      <w:r w:rsidR="0024486B">
        <w:rPr>
          <w:rFonts w:ascii="Arial" w:eastAsia="Verdana" w:hAnsi="Arial" w:cs="Arial"/>
          <w:lang w:val="fr-CA"/>
        </w:rPr>
        <w:t>et T4 libre</w:t>
      </w:r>
      <w:r w:rsidR="0024486B" w:rsidRPr="007D1F47">
        <w:rPr>
          <w:rFonts w:ascii="Arial" w:eastAsia="Verdana" w:hAnsi="Arial" w:cs="Arial"/>
          <w:lang w:val="fr-CA"/>
        </w:rPr>
        <w:t>)</w:t>
      </w:r>
      <w:r w:rsidR="00265990" w:rsidRPr="007D1F47">
        <w:rPr>
          <w:rFonts w:ascii="Arial" w:eastAsia="Verdana" w:hAnsi="Arial" w:cs="Arial"/>
          <w:lang w:val="fr-CA"/>
        </w:rPr>
        <w:t>.</w:t>
      </w:r>
    </w:p>
    <w:p w14:paraId="0BAC5B66" w14:textId="1526E312" w:rsidR="0073175B" w:rsidRPr="007D1F47" w:rsidRDefault="0073175B" w:rsidP="00545256">
      <w:pPr>
        <w:spacing w:after="0" w:line="240" w:lineRule="auto"/>
        <w:ind w:left="720"/>
        <w:jc w:val="both"/>
        <w:rPr>
          <w:rFonts w:ascii="Arial" w:eastAsia="Verdana" w:hAnsi="Arial" w:cs="Arial"/>
          <w:color w:val="000000"/>
          <w:lang w:val="fr-CA"/>
        </w:rPr>
      </w:pPr>
    </w:p>
    <w:p w14:paraId="6E3B1AE3" w14:textId="577DAB5A" w:rsidR="0073175B" w:rsidRPr="007D1F47" w:rsidRDefault="00FD2228" w:rsidP="0054525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color w:val="000000"/>
          <w:lang w:val="fr-CA"/>
        </w:rPr>
      </w:pPr>
      <w:r>
        <w:rPr>
          <w:rFonts w:ascii="Arial" w:eastAsia="Verdana" w:hAnsi="Arial" w:cs="Arial"/>
          <w:b/>
          <w:lang w:val="fr-CA"/>
        </w:rPr>
        <w:t>Résumé</w:t>
      </w:r>
    </w:p>
    <w:p w14:paraId="6C837790" w14:textId="77777777" w:rsidR="0073175B" w:rsidRPr="007D1F47" w:rsidRDefault="0073175B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Arial" w:eastAsia="Verdana" w:hAnsi="Arial" w:cs="Arial"/>
          <w:color w:val="000000"/>
          <w:highlight w:val="yellow"/>
          <w:lang w:val="fr-CA"/>
        </w:rPr>
      </w:pPr>
    </w:p>
    <w:p w14:paraId="0A8ECE52" w14:textId="32481578" w:rsidR="0073175B" w:rsidRPr="007D1F47" w:rsidRDefault="007A38ED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Verdana" w:hAnsi="Arial" w:cs="Arial"/>
          <w:color w:val="000000"/>
          <w:lang w:val="fr-CA"/>
        </w:rPr>
      </w:pPr>
      <w:r w:rsidRPr="007A38ED">
        <w:rPr>
          <w:rFonts w:ascii="Arial" w:hAnsi="Arial" w:cs="Arial"/>
          <w:color w:val="000000"/>
          <w:lang w:val="fr-CA"/>
        </w:rPr>
        <w:t xml:space="preserve">Conformément au </w:t>
      </w:r>
      <w:r w:rsidRPr="002D657A">
        <w:rPr>
          <w:rFonts w:ascii="Arial" w:hAnsi="Arial" w:cs="Arial"/>
          <w:i/>
          <w:iCs/>
          <w:color w:val="000000"/>
          <w:lang w:val="fr-CA"/>
        </w:rPr>
        <w:t>Standard international pour les autorisations d’usage à des fins thérapeutiques</w:t>
      </w:r>
      <w:r w:rsidRPr="007A38ED">
        <w:rPr>
          <w:rFonts w:ascii="Arial" w:hAnsi="Arial" w:cs="Arial"/>
          <w:color w:val="000000"/>
          <w:lang w:val="fr-CA"/>
        </w:rPr>
        <w:t xml:space="preserve"> (SIAUT) et à la pratique thérapeutique de référence actuelle, le dossier médical requis pour demander une AUT chez un</w:t>
      </w:r>
      <w:r>
        <w:rPr>
          <w:rFonts w:ascii="Arial" w:hAnsi="Arial" w:cs="Arial"/>
          <w:color w:val="000000"/>
          <w:lang w:val="fr-CA"/>
        </w:rPr>
        <w:t>e</w:t>
      </w:r>
      <w:r w:rsidRPr="007A38ED">
        <w:rPr>
          <w:rFonts w:ascii="Arial" w:hAnsi="Arial" w:cs="Arial"/>
          <w:color w:val="000000"/>
          <w:lang w:val="fr-CA"/>
        </w:rPr>
        <w:t xml:space="preserve"> sporti</w:t>
      </w:r>
      <w:r>
        <w:rPr>
          <w:rFonts w:ascii="Arial" w:hAnsi="Arial" w:cs="Arial"/>
          <w:color w:val="000000"/>
          <w:lang w:val="fr-CA"/>
        </w:rPr>
        <w:t>ve</w:t>
      </w:r>
      <w:r w:rsidRPr="007A38ED">
        <w:rPr>
          <w:rFonts w:ascii="Arial" w:hAnsi="Arial" w:cs="Arial"/>
          <w:color w:val="000000"/>
          <w:lang w:val="fr-CA"/>
        </w:rPr>
        <w:t xml:space="preserve"> </w:t>
      </w:r>
      <w:r w:rsidR="002D657A">
        <w:rPr>
          <w:rFonts w:ascii="Arial" w:hAnsi="Arial" w:cs="Arial"/>
          <w:color w:val="000000"/>
          <w:lang w:val="fr-CA"/>
        </w:rPr>
        <w:t xml:space="preserve">souffrant </w:t>
      </w:r>
      <w:r w:rsidR="002D657A" w:rsidRPr="002D657A">
        <w:rPr>
          <w:rFonts w:ascii="Arial" w:hAnsi="Arial" w:cs="Arial"/>
          <w:i/>
          <w:iCs/>
          <w:color w:val="000000"/>
          <w:lang w:val="fr-CA"/>
        </w:rPr>
        <w:t>d’infertilité féminine</w:t>
      </w:r>
      <w:r w:rsidRPr="007A38ED">
        <w:rPr>
          <w:rFonts w:ascii="Arial" w:hAnsi="Arial" w:cs="Arial"/>
          <w:color w:val="000000"/>
          <w:lang w:val="fr-CA"/>
        </w:rPr>
        <w:t xml:space="preserve"> doit inclure les renseignements suivants</w:t>
      </w:r>
      <w:r w:rsidR="002D657A">
        <w:rPr>
          <w:rFonts w:ascii="Arial" w:hAnsi="Arial" w:cs="Arial"/>
          <w:color w:val="000000"/>
          <w:lang w:val="fr-CA"/>
        </w:rPr>
        <w:t xml:space="preserve"> : </w:t>
      </w:r>
    </w:p>
    <w:p w14:paraId="238DCEC5" w14:textId="77777777" w:rsidR="0073175B" w:rsidRPr="007D1F47" w:rsidRDefault="0073175B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Verdana" w:hAnsi="Arial" w:cs="Arial"/>
          <w:color w:val="000000"/>
          <w:lang w:val="fr-CA"/>
        </w:rPr>
      </w:pPr>
    </w:p>
    <w:p w14:paraId="12423123" w14:textId="1BF45E15" w:rsidR="0073175B" w:rsidRPr="007D1F47" w:rsidRDefault="0006071A" w:rsidP="005452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rFonts w:ascii="Arial" w:hAnsi="Arial" w:cs="Arial"/>
          <w:color w:val="000000"/>
          <w:lang w:val="fr-CA"/>
        </w:rPr>
      </w:pPr>
      <w:r>
        <w:rPr>
          <w:rFonts w:ascii="Arial" w:eastAsia="Verdana" w:hAnsi="Arial" w:cs="Arial"/>
          <w:color w:val="000000"/>
          <w:lang w:val="fr-CA"/>
        </w:rPr>
        <w:t>L</w:t>
      </w:r>
      <w:r w:rsidRPr="0006071A">
        <w:rPr>
          <w:rFonts w:ascii="Arial" w:eastAsia="Verdana" w:hAnsi="Arial" w:cs="Arial"/>
          <w:color w:val="000000"/>
          <w:lang w:val="fr-CA"/>
        </w:rPr>
        <w:t xml:space="preserve">es antécédents médicaux et un rapport d’examen </w:t>
      </w:r>
      <w:r>
        <w:rPr>
          <w:rFonts w:ascii="Arial" w:eastAsia="Verdana" w:hAnsi="Arial" w:cs="Arial"/>
          <w:color w:val="000000"/>
          <w:lang w:val="fr-CA"/>
        </w:rPr>
        <w:t>physique général</w:t>
      </w:r>
    </w:p>
    <w:p w14:paraId="1063CFD4" w14:textId="08CA0627" w:rsidR="0073175B" w:rsidRPr="007D1F47" w:rsidRDefault="0006071A" w:rsidP="005452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rFonts w:ascii="Arial" w:hAnsi="Arial" w:cs="Arial"/>
          <w:color w:val="000000"/>
          <w:lang w:val="fr-CA"/>
        </w:rPr>
      </w:pPr>
      <w:r>
        <w:rPr>
          <w:rFonts w:ascii="Arial" w:eastAsia="Verdana" w:hAnsi="Arial" w:cs="Arial"/>
          <w:lang w:val="fr-CA"/>
        </w:rPr>
        <w:t xml:space="preserve">Les résultats des épreuves de laboratoire et d’imagerie ou d’autres tests pouvant aider à confirmer le </w:t>
      </w:r>
      <w:r w:rsidR="00265990" w:rsidRPr="007D1F47">
        <w:rPr>
          <w:rFonts w:ascii="Arial" w:eastAsia="Verdana" w:hAnsi="Arial" w:cs="Arial"/>
          <w:lang w:val="fr-CA"/>
        </w:rPr>
        <w:t>diagnos</w:t>
      </w:r>
      <w:r>
        <w:rPr>
          <w:rFonts w:ascii="Arial" w:eastAsia="Verdana" w:hAnsi="Arial" w:cs="Arial"/>
          <w:lang w:val="fr-CA"/>
        </w:rPr>
        <w:t>tic</w:t>
      </w:r>
    </w:p>
    <w:p w14:paraId="6028AFC3" w14:textId="37C4A9CC" w:rsidR="0073175B" w:rsidRPr="007D1F47" w:rsidRDefault="0006071A" w:rsidP="0054525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La liste des traitements antérieurs et/ou </w:t>
      </w:r>
      <w:r w:rsidR="00A32078">
        <w:rPr>
          <w:rFonts w:ascii="Arial" w:eastAsia="Verdana" w:hAnsi="Arial" w:cs="Arial"/>
          <w:lang w:val="fr-CA"/>
        </w:rPr>
        <w:t>actuels</w:t>
      </w:r>
    </w:p>
    <w:p w14:paraId="13EBAB14" w14:textId="11E603C1" w:rsidR="0073175B" w:rsidRDefault="0073175B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Verdana" w:hAnsi="Arial" w:cs="Arial"/>
          <w:lang w:val="fr-CA"/>
        </w:rPr>
      </w:pPr>
    </w:p>
    <w:p w14:paraId="402ACC52" w14:textId="77777777" w:rsidR="00E2425D" w:rsidRPr="007D1F47" w:rsidRDefault="00E2425D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Arial" w:eastAsia="Verdana" w:hAnsi="Arial" w:cs="Arial"/>
          <w:lang w:val="fr-CA"/>
        </w:rPr>
      </w:pPr>
    </w:p>
    <w:p w14:paraId="530ECC92" w14:textId="25E0411C" w:rsidR="0073175B" w:rsidRPr="007D1F47" w:rsidRDefault="00E06B9A" w:rsidP="0054525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Verdana" w:hAnsi="Arial" w:cs="Arial"/>
          <w:b/>
          <w:color w:val="000000"/>
          <w:sz w:val="24"/>
          <w:szCs w:val="24"/>
          <w:lang w:val="fr-CA"/>
        </w:rPr>
      </w:pPr>
      <w:r w:rsidRP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lastRenderedPageBreak/>
        <w:t>Tra</w:t>
      </w:r>
      <w:r w:rsidR="00FD2228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i</w:t>
      </w:r>
      <w:r w:rsidRP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t</w:t>
      </w:r>
      <w:r w:rsidR="00FD2228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e</w:t>
      </w:r>
      <w:r w:rsidRP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ment</w:t>
      </w:r>
    </w:p>
    <w:p w14:paraId="79CAE09E" w14:textId="77777777" w:rsidR="0073175B" w:rsidRPr="007D1F47" w:rsidRDefault="0073175B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Verdana" w:hAnsi="Arial" w:cs="Arial"/>
          <w:b/>
          <w:color w:val="000000"/>
          <w:lang w:val="fr-CA"/>
        </w:rPr>
      </w:pPr>
    </w:p>
    <w:p w14:paraId="6D5C2651" w14:textId="497F6D25" w:rsidR="0073175B" w:rsidRDefault="00A32078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Verdana" w:hAnsi="Arial" w:cs="Arial"/>
          <w:color w:val="000000"/>
          <w:lang w:val="fr-CA"/>
        </w:rPr>
      </w:pPr>
      <w:r>
        <w:rPr>
          <w:rFonts w:ascii="Arial" w:eastAsia="Verdana" w:hAnsi="Arial" w:cs="Arial"/>
          <w:color w:val="000000"/>
          <w:lang w:val="fr-CA"/>
        </w:rPr>
        <w:t>En matière de traitement de l’infertilité féminine, les sportives doivent être prises en charge selon les mêmes lignes directrices internationales que toute femme souffrant de cet état pathologique</w:t>
      </w:r>
      <w:r w:rsidR="00417323">
        <w:rPr>
          <w:rFonts w:ascii="Arial" w:eastAsia="Verdana" w:hAnsi="Arial" w:cs="Arial"/>
          <w:color w:val="000000"/>
          <w:lang w:val="fr-CA"/>
        </w:rPr>
        <w:t>, sportive ou non</w:t>
      </w:r>
      <w:r w:rsidR="00265990" w:rsidRPr="007D1F47">
        <w:rPr>
          <w:rFonts w:ascii="Arial" w:eastAsia="Verdana" w:hAnsi="Arial" w:cs="Arial"/>
          <w:color w:val="000000"/>
          <w:lang w:val="fr-CA"/>
        </w:rPr>
        <w:t xml:space="preserve">. </w:t>
      </w:r>
      <w:r w:rsidR="008D2AC4" w:rsidRPr="007D1F47">
        <w:rPr>
          <w:rFonts w:ascii="Arial" w:eastAsia="Verdana" w:hAnsi="Arial" w:cs="Arial"/>
          <w:color w:val="000000"/>
          <w:lang w:val="fr-CA"/>
        </w:rPr>
        <w:t>N</w:t>
      </w:r>
      <w:r w:rsidR="00C17A0D">
        <w:rPr>
          <w:rFonts w:ascii="Arial" w:eastAsia="Verdana" w:hAnsi="Arial" w:cs="Arial"/>
          <w:color w:val="000000"/>
          <w:lang w:val="fr-CA"/>
        </w:rPr>
        <w:t>éanmoin</w:t>
      </w:r>
      <w:r w:rsidR="008D2AC4" w:rsidRPr="007D1F47">
        <w:rPr>
          <w:rFonts w:ascii="Arial" w:eastAsia="Verdana" w:hAnsi="Arial" w:cs="Arial"/>
          <w:color w:val="000000"/>
          <w:lang w:val="fr-CA"/>
        </w:rPr>
        <w:t xml:space="preserve">s, </w:t>
      </w:r>
      <w:r w:rsidR="00D456CD">
        <w:rPr>
          <w:rFonts w:ascii="Arial" w:eastAsia="Verdana" w:hAnsi="Arial" w:cs="Arial"/>
          <w:color w:val="000000"/>
          <w:lang w:val="fr-CA"/>
        </w:rPr>
        <w:t>le traitement est</w:t>
      </w:r>
      <w:r w:rsidR="00C17A0D">
        <w:rPr>
          <w:rFonts w:ascii="Arial" w:eastAsia="Verdana" w:hAnsi="Arial" w:cs="Arial"/>
          <w:color w:val="000000"/>
          <w:lang w:val="fr-CA"/>
        </w:rPr>
        <w:t xml:space="preserve"> adapté aux besoins individuels, et la disponibilité des options thérapeutiques peut varier d’une région géographique à l’autre. </w:t>
      </w:r>
    </w:p>
    <w:p w14:paraId="388B0D91" w14:textId="77777777" w:rsidR="00417323" w:rsidRPr="007D1F47" w:rsidRDefault="00417323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Verdana" w:hAnsi="Arial" w:cs="Arial"/>
          <w:color w:val="000000"/>
          <w:lang w:val="fr-CA"/>
        </w:rPr>
      </w:pPr>
    </w:p>
    <w:p w14:paraId="0336F06F" w14:textId="3B40C5AF" w:rsidR="0073175B" w:rsidRPr="007D1F47" w:rsidRDefault="000F4514" w:rsidP="005452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 w:hanging="45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Prise en charge non interventionniste </w:t>
      </w:r>
      <w:r w:rsidR="005127B0">
        <w:rPr>
          <w:rFonts w:ascii="Arial" w:eastAsia="Verdana" w:hAnsi="Arial" w:cs="Arial"/>
          <w:lang w:val="fr-CA"/>
        </w:rPr>
        <w:t>avec surveillance de l’</w:t>
      </w:r>
      <w:r w:rsidR="00265990" w:rsidRPr="007D1F47">
        <w:rPr>
          <w:rFonts w:ascii="Arial" w:eastAsia="Verdana" w:hAnsi="Arial" w:cs="Arial"/>
          <w:lang w:val="fr-CA"/>
        </w:rPr>
        <w:t>ovulation</w:t>
      </w:r>
    </w:p>
    <w:p w14:paraId="6DB2814D" w14:textId="5885BD19" w:rsidR="0073175B" w:rsidRPr="007D1F47" w:rsidRDefault="005127B0" w:rsidP="005452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 w:hanging="45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>Stimulation de l’o</w:t>
      </w:r>
      <w:r w:rsidR="00265990" w:rsidRPr="007D1F47">
        <w:rPr>
          <w:rFonts w:ascii="Arial" w:eastAsia="Verdana" w:hAnsi="Arial" w:cs="Arial"/>
          <w:lang w:val="fr-CA"/>
        </w:rPr>
        <w:t>vulation</w:t>
      </w:r>
      <w:r>
        <w:rPr>
          <w:rFonts w:ascii="Arial" w:eastAsia="Verdana" w:hAnsi="Arial" w:cs="Arial"/>
          <w:lang w:val="fr-CA"/>
        </w:rPr>
        <w:t xml:space="preserve"> au moyen d’agents oraux ou injectables, notamment le citrate de c</w:t>
      </w:r>
      <w:r w:rsidR="00265990" w:rsidRPr="007D1F47">
        <w:rPr>
          <w:rFonts w:ascii="Arial" w:eastAsia="Verdana" w:hAnsi="Arial" w:cs="Arial"/>
          <w:lang w:val="fr-CA"/>
        </w:rPr>
        <w:t>lomi</w:t>
      </w:r>
      <w:r w:rsidR="008A5EB5">
        <w:rPr>
          <w:rFonts w:ascii="Arial" w:eastAsia="Verdana" w:hAnsi="Arial" w:cs="Arial"/>
          <w:lang w:val="fr-CA"/>
        </w:rPr>
        <w:t>f</w:t>
      </w:r>
      <w:r>
        <w:rPr>
          <w:rFonts w:ascii="Arial" w:eastAsia="Verdana" w:hAnsi="Arial" w:cs="Arial"/>
          <w:lang w:val="fr-CA"/>
        </w:rPr>
        <w:t>è</w:t>
      </w:r>
      <w:r w:rsidR="00265990" w:rsidRPr="007D1F47">
        <w:rPr>
          <w:rFonts w:ascii="Arial" w:eastAsia="Verdana" w:hAnsi="Arial" w:cs="Arial"/>
          <w:lang w:val="fr-CA"/>
        </w:rPr>
        <w:t xml:space="preserve">ne, </w:t>
      </w:r>
      <w:r>
        <w:rPr>
          <w:rFonts w:ascii="Arial" w:eastAsia="Verdana" w:hAnsi="Arial" w:cs="Arial"/>
          <w:lang w:val="fr-CA"/>
        </w:rPr>
        <w:t xml:space="preserve">le </w:t>
      </w:r>
      <w:proofErr w:type="spellStart"/>
      <w:r>
        <w:rPr>
          <w:rFonts w:ascii="Arial" w:eastAsia="Verdana" w:hAnsi="Arial" w:cs="Arial"/>
          <w:lang w:val="fr-CA"/>
        </w:rPr>
        <w:t>lé</w:t>
      </w:r>
      <w:r w:rsidR="00265990" w:rsidRPr="007D1F47">
        <w:rPr>
          <w:rFonts w:ascii="Arial" w:eastAsia="Verdana" w:hAnsi="Arial" w:cs="Arial"/>
          <w:lang w:val="fr-CA"/>
        </w:rPr>
        <w:t>trozole</w:t>
      </w:r>
      <w:proofErr w:type="spellEnd"/>
      <w:r w:rsidR="00265990" w:rsidRPr="007D1F47">
        <w:rPr>
          <w:rFonts w:ascii="Arial" w:eastAsia="Verdana" w:hAnsi="Arial" w:cs="Arial"/>
          <w:lang w:val="fr-CA"/>
        </w:rPr>
        <w:t xml:space="preserve">, </w:t>
      </w:r>
      <w:r>
        <w:rPr>
          <w:rFonts w:ascii="Arial" w:eastAsia="Verdana" w:hAnsi="Arial" w:cs="Arial"/>
          <w:lang w:val="fr-CA"/>
        </w:rPr>
        <w:t>l’</w:t>
      </w:r>
      <w:r w:rsidR="00265990" w:rsidRPr="007D1F47">
        <w:rPr>
          <w:rFonts w:ascii="Arial" w:eastAsia="Verdana" w:hAnsi="Arial" w:cs="Arial"/>
          <w:lang w:val="fr-CA"/>
        </w:rPr>
        <w:t xml:space="preserve">inositol, </w:t>
      </w:r>
      <w:r>
        <w:rPr>
          <w:rFonts w:ascii="Arial" w:eastAsia="Verdana" w:hAnsi="Arial" w:cs="Arial"/>
          <w:lang w:val="fr-CA"/>
        </w:rPr>
        <w:t xml:space="preserve">la </w:t>
      </w:r>
      <w:r w:rsidR="00265990" w:rsidRPr="007D1F47">
        <w:rPr>
          <w:rFonts w:ascii="Arial" w:eastAsia="Verdana" w:hAnsi="Arial" w:cs="Arial"/>
          <w:lang w:val="fr-CA"/>
        </w:rPr>
        <w:t>metformin</w:t>
      </w:r>
      <w:r>
        <w:rPr>
          <w:rFonts w:ascii="Arial" w:eastAsia="Verdana" w:hAnsi="Arial" w:cs="Arial"/>
          <w:lang w:val="fr-CA"/>
        </w:rPr>
        <w:t>e, ou les</w:t>
      </w:r>
      <w:r w:rsidR="00265990" w:rsidRPr="007D1F47">
        <w:rPr>
          <w:rFonts w:ascii="Arial" w:eastAsia="Verdana" w:hAnsi="Arial" w:cs="Arial"/>
          <w:lang w:val="fr-CA"/>
        </w:rPr>
        <w:t xml:space="preserve"> gonadotrophin</w:t>
      </w:r>
      <w:r>
        <w:rPr>
          <w:rFonts w:ascii="Arial" w:eastAsia="Verdana" w:hAnsi="Arial" w:cs="Arial"/>
          <w:lang w:val="fr-CA"/>
        </w:rPr>
        <w:t>es comme la</w:t>
      </w:r>
      <w:r w:rsidR="00265990" w:rsidRPr="007D1F47">
        <w:rPr>
          <w:rFonts w:ascii="Arial" w:eastAsia="Verdana" w:hAnsi="Arial" w:cs="Arial"/>
          <w:lang w:val="fr-CA"/>
        </w:rPr>
        <w:t xml:space="preserve"> FSH o</w:t>
      </w:r>
      <w:r>
        <w:rPr>
          <w:rFonts w:ascii="Arial" w:eastAsia="Verdana" w:hAnsi="Arial" w:cs="Arial"/>
          <w:lang w:val="fr-CA"/>
        </w:rPr>
        <w:t>u les gonadotrophines</w:t>
      </w:r>
      <w:r w:rsidR="00265990" w:rsidRPr="007D1F47">
        <w:rPr>
          <w:rFonts w:ascii="Arial" w:eastAsia="Verdana" w:hAnsi="Arial" w:cs="Arial"/>
          <w:lang w:val="fr-CA"/>
        </w:rPr>
        <w:t xml:space="preserve"> </w:t>
      </w:r>
      <w:r>
        <w:rPr>
          <w:rFonts w:ascii="Arial" w:eastAsia="Verdana" w:hAnsi="Arial" w:cs="Arial"/>
          <w:lang w:val="fr-CA"/>
        </w:rPr>
        <w:t>ménopausiques humaine</w:t>
      </w:r>
      <w:r w:rsidR="00265990" w:rsidRPr="007D1F47">
        <w:rPr>
          <w:rFonts w:ascii="Arial" w:eastAsia="Verdana" w:hAnsi="Arial" w:cs="Arial"/>
          <w:lang w:val="fr-CA"/>
        </w:rPr>
        <w:t>s (HMG)</w:t>
      </w:r>
    </w:p>
    <w:p w14:paraId="2765E384" w14:textId="4CDA9866" w:rsidR="00971629" w:rsidRPr="007D1F47" w:rsidRDefault="00FD2228" w:rsidP="0054525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 w:hanging="45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Fécondation </w:t>
      </w:r>
      <w:r w:rsidRPr="00FD2228">
        <w:rPr>
          <w:rFonts w:ascii="Arial" w:eastAsia="Verdana" w:hAnsi="Arial" w:cs="Arial"/>
          <w:i/>
          <w:iCs/>
          <w:lang w:val="fr-CA"/>
        </w:rPr>
        <w:t>i</w:t>
      </w:r>
      <w:r w:rsidR="00265990" w:rsidRPr="00FD2228">
        <w:rPr>
          <w:rFonts w:ascii="Arial" w:eastAsia="Verdana" w:hAnsi="Arial" w:cs="Arial"/>
          <w:i/>
          <w:iCs/>
          <w:lang w:val="fr-CA"/>
        </w:rPr>
        <w:t>n</w:t>
      </w:r>
      <w:r w:rsidRPr="00FD2228">
        <w:rPr>
          <w:rFonts w:ascii="Arial" w:eastAsia="Verdana" w:hAnsi="Arial" w:cs="Arial"/>
          <w:i/>
          <w:iCs/>
          <w:lang w:val="fr-CA"/>
        </w:rPr>
        <w:t> </w:t>
      </w:r>
      <w:r w:rsidR="00265990" w:rsidRPr="00FD2228">
        <w:rPr>
          <w:rFonts w:ascii="Arial" w:eastAsia="Verdana" w:hAnsi="Arial" w:cs="Arial"/>
          <w:i/>
          <w:iCs/>
          <w:lang w:val="fr-CA"/>
        </w:rPr>
        <w:t>vitro</w:t>
      </w:r>
      <w:r w:rsidR="00265990" w:rsidRPr="007D1F47">
        <w:rPr>
          <w:rFonts w:ascii="Arial" w:eastAsia="Verdana" w:hAnsi="Arial" w:cs="Arial"/>
          <w:lang w:val="fr-CA"/>
        </w:rPr>
        <w:t xml:space="preserve"> (</w:t>
      </w:r>
      <w:r>
        <w:rPr>
          <w:rFonts w:ascii="Arial" w:eastAsia="Verdana" w:hAnsi="Arial" w:cs="Arial"/>
          <w:lang w:val="fr-CA"/>
        </w:rPr>
        <w:t>FIV</w:t>
      </w:r>
      <w:r w:rsidR="00265990" w:rsidRPr="007D1F47">
        <w:rPr>
          <w:rFonts w:ascii="Arial" w:eastAsia="Verdana" w:hAnsi="Arial" w:cs="Arial"/>
          <w:lang w:val="fr-CA"/>
        </w:rPr>
        <w:t>)</w:t>
      </w:r>
      <w:r w:rsidR="00061CD6" w:rsidRPr="007D1F47">
        <w:rPr>
          <w:rFonts w:ascii="Arial" w:eastAsia="Verdana" w:hAnsi="Arial" w:cs="Arial"/>
          <w:lang w:val="fr-CA"/>
        </w:rPr>
        <w:t>,</w:t>
      </w:r>
      <w:r w:rsidR="00265990" w:rsidRPr="007D1F47">
        <w:rPr>
          <w:rFonts w:ascii="Arial" w:eastAsia="Verdana" w:hAnsi="Arial" w:cs="Arial"/>
          <w:lang w:val="fr-CA"/>
        </w:rPr>
        <w:t xml:space="preserve"> </w:t>
      </w:r>
      <w:r w:rsidR="0036651E">
        <w:rPr>
          <w:rFonts w:ascii="Arial" w:eastAsia="Verdana" w:hAnsi="Arial" w:cs="Arial"/>
          <w:lang w:val="fr-CA"/>
        </w:rPr>
        <w:t>selon</w:t>
      </w:r>
      <w:r w:rsidR="000F4514">
        <w:rPr>
          <w:rFonts w:ascii="Arial" w:eastAsia="Verdana" w:hAnsi="Arial" w:cs="Arial"/>
          <w:lang w:val="fr-CA"/>
        </w:rPr>
        <w:t xml:space="preserve"> différents protocole</w:t>
      </w:r>
      <w:r w:rsidR="0036651E">
        <w:rPr>
          <w:rFonts w:ascii="Arial" w:eastAsia="Verdana" w:hAnsi="Arial" w:cs="Arial"/>
          <w:lang w:val="fr-CA"/>
        </w:rPr>
        <w:t>s, en fonction de l</w:t>
      </w:r>
      <w:r w:rsidR="000F4514">
        <w:rPr>
          <w:rFonts w:ascii="Arial" w:eastAsia="Verdana" w:hAnsi="Arial" w:cs="Arial"/>
          <w:lang w:val="fr-CA"/>
        </w:rPr>
        <w:t>a réponse</w:t>
      </w:r>
      <w:r w:rsidR="0036651E">
        <w:rPr>
          <w:rFonts w:ascii="Arial" w:eastAsia="Verdana" w:hAnsi="Arial" w:cs="Arial"/>
          <w:lang w:val="fr-CA"/>
        </w:rPr>
        <w:t xml:space="preserve"> prévue. </w:t>
      </w:r>
      <w:r w:rsidR="00E67F4A">
        <w:rPr>
          <w:rFonts w:ascii="Arial" w:eastAsia="Verdana" w:hAnsi="Arial" w:cs="Arial"/>
          <w:lang w:val="fr-CA"/>
        </w:rPr>
        <w:t xml:space="preserve">Un </w:t>
      </w:r>
      <w:r w:rsidR="0036651E">
        <w:rPr>
          <w:rFonts w:ascii="Arial" w:eastAsia="Verdana" w:hAnsi="Arial" w:cs="Arial"/>
          <w:lang w:val="fr-CA"/>
        </w:rPr>
        <w:t>cycle de FIV</w:t>
      </w:r>
      <w:r w:rsidR="00417323">
        <w:rPr>
          <w:rFonts w:ascii="Arial" w:eastAsia="Verdana" w:hAnsi="Arial" w:cs="Arial"/>
          <w:lang w:val="fr-CA"/>
        </w:rPr>
        <w:t xml:space="preserve"> se déroule habituellement</w:t>
      </w:r>
      <w:r w:rsidR="0036651E">
        <w:rPr>
          <w:rFonts w:ascii="Arial" w:eastAsia="Verdana" w:hAnsi="Arial" w:cs="Arial"/>
          <w:lang w:val="fr-CA"/>
        </w:rPr>
        <w:t xml:space="preserve"> </w:t>
      </w:r>
      <w:r w:rsidR="00E67F4A">
        <w:rPr>
          <w:rFonts w:ascii="Arial" w:eastAsia="Verdana" w:hAnsi="Arial" w:cs="Arial"/>
          <w:lang w:val="fr-CA"/>
        </w:rPr>
        <w:t>comme suit</w:t>
      </w:r>
      <w:r w:rsidR="0036651E">
        <w:rPr>
          <w:rFonts w:ascii="Arial" w:eastAsia="Verdana" w:hAnsi="Arial" w:cs="Arial"/>
          <w:lang w:val="fr-CA"/>
        </w:rPr>
        <w:t> :</w:t>
      </w:r>
      <w:r w:rsidR="00265990" w:rsidRPr="007D1F47">
        <w:rPr>
          <w:rFonts w:ascii="Arial" w:eastAsia="Verdana" w:hAnsi="Arial" w:cs="Arial"/>
          <w:lang w:val="fr-CA"/>
        </w:rPr>
        <w:t xml:space="preserve"> </w:t>
      </w:r>
    </w:p>
    <w:p w14:paraId="403A3978" w14:textId="0EB2C231" w:rsidR="0073175B" w:rsidRPr="007D1F47" w:rsidRDefault="00265990" w:rsidP="00545256">
      <w:pPr>
        <w:numPr>
          <w:ilvl w:val="0"/>
          <w:numId w:val="17"/>
        </w:numPr>
        <w:spacing w:after="0" w:line="240" w:lineRule="auto"/>
        <w:ind w:left="1260" w:hanging="270"/>
        <w:jc w:val="both"/>
        <w:rPr>
          <w:rFonts w:ascii="Arial" w:hAnsi="Arial" w:cs="Arial"/>
          <w:lang w:val="fr-CA"/>
        </w:rPr>
      </w:pPr>
      <w:r w:rsidRPr="007D1F47">
        <w:rPr>
          <w:rFonts w:ascii="Arial" w:eastAsia="Verdana" w:hAnsi="Arial" w:cs="Arial"/>
          <w:lang w:val="fr-CA"/>
        </w:rPr>
        <w:t xml:space="preserve">Suppression </w:t>
      </w:r>
      <w:r w:rsidR="0036651E" w:rsidRPr="0036651E">
        <w:rPr>
          <w:rFonts w:ascii="Arial" w:eastAsia="Verdana" w:hAnsi="Arial" w:cs="Arial"/>
          <w:lang w:val="fr-CA"/>
        </w:rPr>
        <w:t>de l'ovulation spontanée par un agoniste ou un antagoniste de l'hormone de libération des gonadotrophines (GnRH)</w:t>
      </w:r>
    </w:p>
    <w:p w14:paraId="14BB8CAF" w14:textId="7AD0856C" w:rsidR="0073175B" w:rsidRPr="007D1F47" w:rsidRDefault="00DA4C55" w:rsidP="00545256">
      <w:pPr>
        <w:numPr>
          <w:ilvl w:val="0"/>
          <w:numId w:val="17"/>
        </w:numPr>
        <w:spacing w:after="0" w:line="240" w:lineRule="auto"/>
        <w:ind w:left="1260" w:hanging="27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>H</w:t>
      </w:r>
      <w:r w:rsidR="00265990" w:rsidRPr="007D1F47">
        <w:rPr>
          <w:rFonts w:ascii="Arial" w:eastAsia="Verdana" w:hAnsi="Arial" w:cs="Arial"/>
          <w:lang w:val="fr-CA"/>
        </w:rPr>
        <w:t xml:space="preserve">yperstimulation </w:t>
      </w:r>
      <w:r>
        <w:rPr>
          <w:rFonts w:ascii="Arial" w:eastAsia="Verdana" w:hAnsi="Arial" w:cs="Arial"/>
          <w:lang w:val="fr-CA"/>
        </w:rPr>
        <w:t xml:space="preserve">ovarienne au moyen d’injections </w:t>
      </w:r>
      <w:r w:rsidR="0036651E">
        <w:rPr>
          <w:rFonts w:ascii="Arial" w:eastAsia="Verdana" w:hAnsi="Arial" w:cs="Arial"/>
          <w:lang w:val="fr-CA"/>
        </w:rPr>
        <w:t xml:space="preserve">sous-cutanées </w:t>
      </w:r>
      <w:r>
        <w:rPr>
          <w:rFonts w:ascii="Arial" w:eastAsia="Verdana" w:hAnsi="Arial" w:cs="Arial"/>
          <w:lang w:val="fr-CA"/>
        </w:rPr>
        <w:t xml:space="preserve">quotidiennes de </w:t>
      </w:r>
      <w:r w:rsidR="00265990" w:rsidRPr="007D1F47">
        <w:rPr>
          <w:rFonts w:ascii="Arial" w:eastAsia="Verdana" w:hAnsi="Arial" w:cs="Arial"/>
          <w:lang w:val="fr-CA"/>
        </w:rPr>
        <w:t>FSH o</w:t>
      </w:r>
      <w:r>
        <w:rPr>
          <w:rFonts w:ascii="Arial" w:eastAsia="Verdana" w:hAnsi="Arial" w:cs="Arial"/>
          <w:lang w:val="fr-CA"/>
        </w:rPr>
        <w:t xml:space="preserve">u d’une association </w:t>
      </w:r>
      <w:r w:rsidR="00265990" w:rsidRPr="007D1F47">
        <w:rPr>
          <w:rFonts w:ascii="Arial" w:eastAsia="Verdana" w:hAnsi="Arial" w:cs="Arial"/>
          <w:lang w:val="fr-CA"/>
        </w:rPr>
        <w:t>FSH</w:t>
      </w:r>
      <w:r>
        <w:rPr>
          <w:rFonts w:ascii="Arial" w:eastAsia="Verdana" w:hAnsi="Arial" w:cs="Arial"/>
          <w:lang w:val="fr-CA"/>
        </w:rPr>
        <w:t>-</w:t>
      </w:r>
      <w:r w:rsidR="00265990" w:rsidRPr="007D1F47">
        <w:rPr>
          <w:rFonts w:ascii="Arial" w:eastAsia="Verdana" w:hAnsi="Arial" w:cs="Arial"/>
          <w:lang w:val="fr-CA"/>
        </w:rPr>
        <w:t>LH</w:t>
      </w:r>
    </w:p>
    <w:p w14:paraId="7A10D21D" w14:textId="08ECFB9A" w:rsidR="0073175B" w:rsidRPr="0036651E" w:rsidRDefault="0036651E" w:rsidP="00545256">
      <w:pPr>
        <w:numPr>
          <w:ilvl w:val="0"/>
          <w:numId w:val="17"/>
        </w:numPr>
        <w:spacing w:after="0" w:line="240" w:lineRule="auto"/>
        <w:ind w:left="1260" w:hanging="270"/>
        <w:jc w:val="both"/>
        <w:rPr>
          <w:rFonts w:ascii="Arial" w:eastAsia="Verdana" w:hAnsi="Arial" w:cs="Arial"/>
          <w:lang w:val="fr-CA"/>
        </w:rPr>
      </w:pPr>
      <w:r w:rsidRPr="0036651E">
        <w:rPr>
          <w:rFonts w:ascii="Arial" w:eastAsia="Verdana" w:hAnsi="Arial" w:cs="Arial"/>
          <w:lang w:val="fr-CA"/>
        </w:rPr>
        <w:t>Induction de la maturation ovocytaire au moyen d’un</w:t>
      </w:r>
      <w:r w:rsidR="00654870">
        <w:rPr>
          <w:rFonts w:ascii="Arial" w:eastAsia="Verdana" w:hAnsi="Arial" w:cs="Arial"/>
          <w:lang w:val="fr-CA"/>
        </w:rPr>
        <w:t>e</w:t>
      </w:r>
      <w:r w:rsidRPr="0036651E">
        <w:rPr>
          <w:rFonts w:ascii="Arial" w:eastAsia="Verdana" w:hAnsi="Arial" w:cs="Arial"/>
          <w:lang w:val="fr-CA"/>
        </w:rPr>
        <w:t xml:space="preserve"> injection unique de </w:t>
      </w:r>
      <w:r w:rsidR="00265990" w:rsidRPr="0036651E">
        <w:rPr>
          <w:rFonts w:ascii="Arial" w:eastAsia="Verdana" w:hAnsi="Arial" w:cs="Arial"/>
          <w:lang w:val="fr-CA"/>
        </w:rPr>
        <w:t>gonadotrop</w:t>
      </w:r>
      <w:r w:rsidRPr="0036651E">
        <w:rPr>
          <w:rFonts w:ascii="Arial" w:eastAsia="Verdana" w:hAnsi="Arial" w:cs="Arial"/>
          <w:lang w:val="fr-CA"/>
        </w:rPr>
        <w:t>hine chorionique humaine</w:t>
      </w:r>
      <w:r w:rsidR="00265990" w:rsidRPr="0036651E">
        <w:rPr>
          <w:rFonts w:ascii="Arial" w:eastAsia="Verdana" w:hAnsi="Arial" w:cs="Arial"/>
          <w:lang w:val="fr-CA"/>
        </w:rPr>
        <w:t xml:space="preserve"> (</w:t>
      </w:r>
      <w:r w:rsidR="00BE54CE">
        <w:rPr>
          <w:rFonts w:ascii="Arial" w:eastAsia="Verdana" w:hAnsi="Arial" w:cs="Arial"/>
          <w:lang w:val="fr-CA"/>
        </w:rPr>
        <w:t>h</w:t>
      </w:r>
      <w:r w:rsidR="00265990" w:rsidRPr="0036651E">
        <w:rPr>
          <w:rFonts w:ascii="Arial" w:eastAsia="Verdana" w:hAnsi="Arial" w:cs="Arial"/>
          <w:lang w:val="fr-CA"/>
        </w:rPr>
        <w:t>CG)</w:t>
      </w:r>
      <w:r w:rsidR="000145A4" w:rsidRPr="0036651E">
        <w:rPr>
          <w:rFonts w:ascii="Arial" w:eastAsia="Verdana" w:hAnsi="Arial" w:cs="Arial"/>
          <w:lang w:val="fr-CA"/>
        </w:rPr>
        <w:t xml:space="preserve"> o</w:t>
      </w:r>
      <w:r w:rsidRPr="0036651E">
        <w:rPr>
          <w:rFonts w:ascii="Arial" w:eastAsia="Verdana" w:hAnsi="Arial" w:cs="Arial"/>
          <w:lang w:val="fr-CA"/>
        </w:rPr>
        <w:t xml:space="preserve">u de </w:t>
      </w:r>
      <w:proofErr w:type="spellStart"/>
      <w:r w:rsidRPr="0036651E">
        <w:rPr>
          <w:rFonts w:ascii="Arial" w:eastAsia="Verdana" w:hAnsi="Arial" w:cs="Arial"/>
          <w:lang w:val="fr-CA"/>
        </w:rPr>
        <w:t>buséréline</w:t>
      </w:r>
      <w:proofErr w:type="spellEnd"/>
    </w:p>
    <w:p w14:paraId="725999BE" w14:textId="587CEE64" w:rsidR="0073175B" w:rsidRPr="007D1F47" w:rsidRDefault="0036651E" w:rsidP="00545256">
      <w:pPr>
        <w:numPr>
          <w:ilvl w:val="0"/>
          <w:numId w:val="17"/>
        </w:numPr>
        <w:spacing w:after="0" w:line="240" w:lineRule="auto"/>
        <w:ind w:left="1260" w:hanging="27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Prélèvement d’ovules par voie </w:t>
      </w:r>
      <w:proofErr w:type="spellStart"/>
      <w:r>
        <w:rPr>
          <w:rFonts w:ascii="Arial" w:eastAsia="Verdana" w:hAnsi="Arial" w:cs="Arial"/>
          <w:lang w:val="fr-CA"/>
        </w:rPr>
        <w:t>t</w:t>
      </w:r>
      <w:r w:rsidR="00265990" w:rsidRPr="007D1F47">
        <w:rPr>
          <w:rFonts w:ascii="Arial" w:eastAsia="Verdana" w:hAnsi="Arial" w:cs="Arial"/>
          <w:lang w:val="fr-CA"/>
        </w:rPr>
        <w:t>ransvaginale</w:t>
      </w:r>
      <w:proofErr w:type="spellEnd"/>
    </w:p>
    <w:p w14:paraId="726C0DEC" w14:textId="2A9AE994" w:rsidR="0073175B" w:rsidRPr="007D1F47" w:rsidRDefault="008D2839" w:rsidP="00545256">
      <w:pPr>
        <w:numPr>
          <w:ilvl w:val="0"/>
          <w:numId w:val="17"/>
        </w:numPr>
        <w:spacing w:after="0" w:line="240" w:lineRule="auto"/>
        <w:ind w:left="1260" w:hanging="27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Collecte </w:t>
      </w:r>
      <w:r w:rsidR="00093EE8">
        <w:rPr>
          <w:rFonts w:ascii="Arial" w:eastAsia="Verdana" w:hAnsi="Arial" w:cs="Arial"/>
          <w:lang w:val="fr-CA"/>
        </w:rPr>
        <w:t xml:space="preserve">de </w:t>
      </w:r>
      <w:bookmarkStart w:id="0" w:name="_Hlk86750755"/>
      <w:r w:rsidR="00093EE8">
        <w:rPr>
          <w:rFonts w:ascii="Arial" w:eastAsia="Verdana" w:hAnsi="Arial" w:cs="Arial"/>
          <w:lang w:val="fr-CA"/>
        </w:rPr>
        <w:t>sp</w:t>
      </w:r>
      <w:r w:rsidR="00265990" w:rsidRPr="007D1F47">
        <w:rPr>
          <w:rFonts w:ascii="Arial" w:eastAsia="Verdana" w:hAnsi="Arial" w:cs="Arial"/>
          <w:lang w:val="fr-CA"/>
        </w:rPr>
        <w:t>erm</w:t>
      </w:r>
      <w:bookmarkEnd w:id="0"/>
      <w:r>
        <w:rPr>
          <w:rFonts w:ascii="Arial" w:eastAsia="Verdana" w:hAnsi="Arial" w:cs="Arial"/>
          <w:lang w:val="fr-CA"/>
        </w:rPr>
        <w:t>e</w:t>
      </w:r>
    </w:p>
    <w:p w14:paraId="365F1956" w14:textId="388C53A1" w:rsidR="0073175B" w:rsidRPr="007D1F47" w:rsidRDefault="00265990" w:rsidP="00545256">
      <w:pPr>
        <w:numPr>
          <w:ilvl w:val="0"/>
          <w:numId w:val="17"/>
        </w:numPr>
        <w:spacing w:after="0" w:line="240" w:lineRule="auto"/>
        <w:ind w:left="1260" w:hanging="270"/>
        <w:jc w:val="both"/>
        <w:rPr>
          <w:rFonts w:ascii="Arial" w:eastAsia="Verdana" w:hAnsi="Arial" w:cs="Arial"/>
          <w:lang w:val="fr-CA"/>
        </w:rPr>
      </w:pPr>
      <w:r w:rsidRPr="007D1F47">
        <w:rPr>
          <w:rFonts w:ascii="Arial" w:eastAsia="Verdana" w:hAnsi="Arial" w:cs="Arial"/>
          <w:lang w:val="fr-CA"/>
        </w:rPr>
        <w:t>F</w:t>
      </w:r>
      <w:r w:rsidR="00093EE8">
        <w:rPr>
          <w:rFonts w:ascii="Arial" w:eastAsia="Verdana" w:hAnsi="Arial" w:cs="Arial"/>
          <w:lang w:val="fr-CA"/>
        </w:rPr>
        <w:t>écond</w:t>
      </w:r>
      <w:r w:rsidRPr="007D1F47">
        <w:rPr>
          <w:rFonts w:ascii="Arial" w:eastAsia="Verdana" w:hAnsi="Arial" w:cs="Arial"/>
          <w:lang w:val="fr-CA"/>
        </w:rPr>
        <w:t xml:space="preserve">ation </w:t>
      </w:r>
      <w:r w:rsidR="00093EE8">
        <w:rPr>
          <w:rFonts w:ascii="Arial" w:eastAsia="Verdana" w:hAnsi="Arial" w:cs="Arial"/>
          <w:lang w:val="fr-CA"/>
        </w:rPr>
        <w:t xml:space="preserve">par </w:t>
      </w:r>
      <w:proofErr w:type="spellStart"/>
      <w:r w:rsidRPr="007D1F47">
        <w:rPr>
          <w:rFonts w:ascii="Arial" w:eastAsia="Verdana" w:hAnsi="Arial" w:cs="Arial"/>
          <w:lang w:val="fr-CA"/>
        </w:rPr>
        <w:t>co</w:t>
      </w:r>
      <w:proofErr w:type="spellEnd"/>
      <w:r w:rsidRPr="007D1F47">
        <w:rPr>
          <w:rFonts w:ascii="Arial" w:eastAsia="Verdana" w:hAnsi="Arial" w:cs="Arial"/>
          <w:lang w:val="fr-CA"/>
        </w:rPr>
        <w:t xml:space="preserve">-incubation </w:t>
      </w:r>
      <w:r w:rsidR="00393ABA">
        <w:rPr>
          <w:rFonts w:ascii="Arial" w:eastAsia="Verdana" w:hAnsi="Arial" w:cs="Arial"/>
          <w:lang w:val="fr-CA"/>
        </w:rPr>
        <w:t>d’</w:t>
      </w:r>
      <w:r w:rsidR="00093EE8">
        <w:rPr>
          <w:rFonts w:ascii="Arial" w:eastAsia="Verdana" w:hAnsi="Arial" w:cs="Arial"/>
          <w:lang w:val="fr-CA"/>
        </w:rPr>
        <w:t>ovule</w:t>
      </w:r>
      <w:r w:rsidR="00393ABA">
        <w:rPr>
          <w:rFonts w:ascii="Arial" w:eastAsia="Verdana" w:hAnsi="Arial" w:cs="Arial"/>
          <w:lang w:val="fr-CA"/>
        </w:rPr>
        <w:t>s</w:t>
      </w:r>
      <w:r w:rsidR="00093EE8">
        <w:rPr>
          <w:rFonts w:ascii="Arial" w:eastAsia="Verdana" w:hAnsi="Arial" w:cs="Arial"/>
          <w:lang w:val="fr-CA"/>
        </w:rPr>
        <w:t xml:space="preserve"> et d</w:t>
      </w:r>
      <w:r w:rsidR="00F50476">
        <w:rPr>
          <w:rFonts w:ascii="Arial" w:eastAsia="Verdana" w:hAnsi="Arial" w:cs="Arial"/>
          <w:lang w:val="fr-CA"/>
        </w:rPr>
        <w:t>e</w:t>
      </w:r>
      <w:r w:rsidR="00093EE8">
        <w:rPr>
          <w:rFonts w:ascii="Arial" w:eastAsia="Verdana" w:hAnsi="Arial" w:cs="Arial"/>
          <w:lang w:val="fr-CA"/>
        </w:rPr>
        <w:t xml:space="preserve"> </w:t>
      </w:r>
      <w:r w:rsidR="00E67F4A" w:rsidRPr="00E67F4A">
        <w:rPr>
          <w:rFonts w:ascii="Arial" w:eastAsia="Verdana" w:hAnsi="Arial" w:cs="Arial"/>
          <w:lang w:val="fr-CA"/>
        </w:rPr>
        <w:t>sperm</w:t>
      </w:r>
      <w:r w:rsidR="008D2839">
        <w:rPr>
          <w:rFonts w:ascii="Arial" w:eastAsia="Verdana" w:hAnsi="Arial" w:cs="Arial"/>
          <w:lang w:val="fr-CA"/>
        </w:rPr>
        <w:t>e</w:t>
      </w:r>
    </w:p>
    <w:p w14:paraId="795BC2CB" w14:textId="5E63A45A" w:rsidR="0073175B" w:rsidRPr="007D1F47" w:rsidRDefault="00093EE8" w:rsidP="00545256">
      <w:pPr>
        <w:numPr>
          <w:ilvl w:val="0"/>
          <w:numId w:val="17"/>
        </w:numPr>
        <w:spacing w:after="0" w:line="240" w:lineRule="auto"/>
        <w:ind w:left="1260" w:hanging="27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>Transfert d</w:t>
      </w:r>
      <w:r w:rsidR="00393ABA">
        <w:rPr>
          <w:rFonts w:ascii="Arial" w:eastAsia="Verdana" w:hAnsi="Arial" w:cs="Arial"/>
          <w:lang w:val="fr-CA"/>
        </w:rPr>
        <w:t xml:space="preserve">u ou des </w:t>
      </w:r>
      <w:r>
        <w:rPr>
          <w:rFonts w:ascii="Arial" w:eastAsia="Verdana" w:hAnsi="Arial" w:cs="Arial"/>
          <w:lang w:val="fr-CA"/>
        </w:rPr>
        <w:t>e</w:t>
      </w:r>
      <w:r w:rsidR="00265990" w:rsidRPr="007D1F47">
        <w:rPr>
          <w:rFonts w:ascii="Arial" w:eastAsia="Verdana" w:hAnsi="Arial" w:cs="Arial"/>
          <w:lang w:val="fr-CA"/>
        </w:rPr>
        <w:t>mbryo</w:t>
      </w:r>
      <w:r>
        <w:rPr>
          <w:rFonts w:ascii="Arial" w:eastAsia="Verdana" w:hAnsi="Arial" w:cs="Arial"/>
          <w:lang w:val="fr-CA"/>
        </w:rPr>
        <w:t>n</w:t>
      </w:r>
      <w:r w:rsidR="00393ABA">
        <w:rPr>
          <w:rFonts w:ascii="Arial" w:eastAsia="Verdana" w:hAnsi="Arial" w:cs="Arial"/>
          <w:lang w:val="fr-CA"/>
        </w:rPr>
        <w:t>s d</w:t>
      </w:r>
      <w:r>
        <w:rPr>
          <w:rFonts w:ascii="Arial" w:eastAsia="Verdana" w:hAnsi="Arial" w:cs="Arial"/>
          <w:lang w:val="fr-CA"/>
        </w:rPr>
        <w:t>ans l’utérus</w:t>
      </w:r>
      <w:r w:rsidR="00F50476">
        <w:rPr>
          <w:rFonts w:ascii="Arial" w:eastAsia="Verdana" w:hAnsi="Arial" w:cs="Arial"/>
          <w:lang w:val="fr-CA"/>
        </w:rPr>
        <w:t xml:space="preserve"> de la femme</w:t>
      </w:r>
    </w:p>
    <w:p w14:paraId="504CDBAF" w14:textId="69D3E13E" w:rsidR="0073175B" w:rsidRDefault="00093EE8" w:rsidP="00545256">
      <w:pPr>
        <w:numPr>
          <w:ilvl w:val="0"/>
          <w:numId w:val="17"/>
        </w:numPr>
        <w:spacing w:after="0" w:line="240" w:lineRule="auto"/>
        <w:ind w:left="1260" w:hanging="27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Soutien </w:t>
      </w:r>
      <w:r w:rsidR="00393ABA">
        <w:rPr>
          <w:rFonts w:ascii="Arial" w:eastAsia="Verdana" w:hAnsi="Arial" w:cs="Arial"/>
          <w:lang w:val="fr-CA"/>
        </w:rPr>
        <w:t>de la phase l</w:t>
      </w:r>
      <w:r>
        <w:rPr>
          <w:rFonts w:ascii="Arial" w:eastAsia="Verdana" w:hAnsi="Arial" w:cs="Arial"/>
          <w:lang w:val="fr-CA"/>
        </w:rPr>
        <w:t>utéal</w:t>
      </w:r>
      <w:r w:rsidR="00393ABA">
        <w:rPr>
          <w:rFonts w:ascii="Arial" w:eastAsia="Verdana" w:hAnsi="Arial" w:cs="Arial"/>
          <w:lang w:val="fr-CA"/>
        </w:rPr>
        <w:t>e</w:t>
      </w:r>
      <w:r>
        <w:rPr>
          <w:rFonts w:ascii="Arial" w:eastAsia="Verdana" w:hAnsi="Arial" w:cs="Arial"/>
          <w:lang w:val="fr-CA"/>
        </w:rPr>
        <w:t xml:space="preserve"> par progestérone </w:t>
      </w:r>
      <w:r w:rsidR="00393ABA">
        <w:rPr>
          <w:rFonts w:ascii="Arial" w:eastAsia="Verdana" w:hAnsi="Arial" w:cs="Arial"/>
          <w:lang w:val="fr-CA"/>
        </w:rPr>
        <w:t xml:space="preserve">administrée par voie </w:t>
      </w:r>
      <w:r>
        <w:rPr>
          <w:rFonts w:ascii="Arial" w:eastAsia="Verdana" w:hAnsi="Arial" w:cs="Arial"/>
          <w:lang w:val="fr-CA"/>
        </w:rPr>
        <w:t>vaginale</w:t>
      </w:r>
    </w:p>
    <w:p w14:paraId="0074FA3E" w14:textId="77777777" w:rsidR="008D2839" w:rsidRPr="007D1F47" w:rsidRDefault="008D2839" w:rsidP="00545256">
      <w:pPr>
        <w:spacing w:after="0" w:line="240" w:lineRule="auto"/>
        <w:ind w:left="1350"/>
        <w:rPr>
          <w:rFonts w:ascii="Arial" w:eastAsia="Verdana" w:hAnsi="Arial" w:cs="Arial"/>
          <w:lang w:val="fr-CA"/>
        </w:rPr>
      </w:pPr>
    </w:p>
    <w:p w14:paraId="370D2ADC" w14:textId="0EA47D89" w:rsidR="00237E12" w:rsidRPr="007D1F47" w:rsidRDefault="00393ABA" w:rsidP="00545256">
      <w:pPr>
        <w:spacing w:after="0" w:line="240" w:lineRule="auto"/>
        <w:ind w:left="360"/>
        <w:jc w:val="both"/>
        <w:rPr>
          <w:rFonts w:ascii="Arial" w:eastAsia="Verdana" w:hAnsi="Arial" w:cs="Arial"/>
          <w:color w:val="000000"/>
          <w:lang w:val="fr-CA"/>
        </w:rPr>
      </w:pPr>
      <w:r>
        <w:rPr>
          <w:rFonts w:ascii="Arial" w:eastAsia="Verdana" w:hAnsi="Arial" w:cs="Arial"/>
          <w:lang w:val="fr-CA"/>
        </w:rPr>
        <w:t xml:space="preserve">Un </w:t>
      </w:r>
      <w:r w:rsidR="00FD2228">
        <w:rPr>
          <w:rFonts w:ascii="Arial" w:eastAsia="Verdana" w:hAnsi="Arial" w:cs="Arial"/>
          <w:lang w:val="fr-CA"/>
        </w:rPr>
        <w:t>cycle de FIV</w:t>
      </w:r>
      <w:r w:rsidR="00265990" w:rsidRPr="007D1F47">
        <w:rPr>
          <w:rFonts w:ascii="Arial" w:eastAsia="Verdana" w:hAnsi="Arial" w:cs="Arial"/>
          <w:lang w:val="fr-CA"/>
        </w:rPr>
        <w:t xml:space="preserve"> </w:t>
      </w:r>
      <w:r>
        <w:rPr>
          <w:rFonts w:ascii="Arial" w:eastAsia="Verdana" w:hAnsi="Arial" w:cs="Arial"/>
          <w:lang w:val="fr-CA"/>
        </w:rPr>
        <w:t>dure environ deux à trois semaines, et plusieurs cycles peuvent être nécessaires</w:t>
      </w:r>
      <w:r w:rsidR="00056931">
        <w:rPr>
          <w:rFonts w:ascii="Arial" w:eastAsia="Verdana" w:hAnsi="Arial" w:cs="Arial"/>
          <w:lang w:val="fr-CA"/>
        </w:rPr>
        <w:t xml:space="preserve"> avant d’obtenir une grossesse.</w:t>
      </w:r>
    </w:p>
    <w:p w14:paraId="21CFC451" w14:textId="77777777" w:rsidR="00DF0CA3" w:rsidRPr="007D1F47" w:rsidRDefault="00DF0CA3" w:rsidP="00545256">
      <w:pPr>
        <w:spacing w:after="0" w:line="240" w:lineRule="auto"/>
        <w:ind w:left="720"/>
        <w:rPr>
          <w:rFonts w:ascii="Arial" w:eastAsia="Verdana" w:hAnsi="Arial" w:cs="Arial"/>
          <w:color w:val="000000"/>
          <w:lang w:val="fr-CA"/>
        </w:rPr>
      </w:pPr>
    </w:p>
    <w:p w14:paraId="7F527958" w14:textId="0467B611" w:rsidR="0073175B" w:rsidRPr="007D1F47" w:rsidRDefault="00265990" w:rsidP="00545256">
      <w:pPr>
        <w:pStyle w:val="ListParagraph"/>
        <w:numPr>
          <w:ilvl w:val="1"/>
          <w:numId w:val="12"/>
        </w:numPr>
        <w:spacing w:after="0" w:line="240" w:lineRule="auto"/>
        <w:ind w:left="810" w:hanging="450"/>
        <w:rPr>
          <w:rFonts w:ascii="Arial" w:hAnsi="Arial" w:cs="Arial"/>
          <w:b/>
          <w:bCs/>
          <w:color w:val="000000" w:themeColor="text1"/>
          <w:lang w:val="fr-CA"/>
        </w:rPr>
      </w:pPr>
      <w:r w:rsidRPr="007D1F47">
        <w:rPr>
          <w:rFonts w:ascii="Arial" w:hAnsi="Arial" w:cs="Arial"/>
          <w:b/>
          <w:bCs/>
          <w:color w:val="000000" w:themeColor="text1"/>
          <w:lang w:val="fr-CA"/>
        </w:rPr>
        <w:t>N</w:t>
      </w:r>
      <w:r w:rsidR="00FD2228">
        <w:rPr>
          <w:rFonts w:ascii="Arial" w:hAnsi="Arial" w:cs="Arial"/>
          <w:b/>
          <w:bCs/>
          <w:color w:val="000000" w:themeColor="text1"/>
          <w:lang w:val="fr-CA"/>
        </w:rPr>
        <w:t>o</w:t>
      </w:r>
      <w:r w:rsidRPr="007D1F47">
        <w:rPr>
          <w:rFonts w:ascii="Arial" w:hAnsi="Arial" w:cs="Arial"/>
          <w:b/>
          <w:bCs/>
          <w:color w:val="000000" w:themeColor="text1"/>
          <w:lang w:val="fr-CA"/>
        </w:rPr>
        <w:t>m</w:t>
      </w:r>
      <w:r w:rsidR="00FD2228">
        <w:rPr>
          <w:rFonts w:ascii="Arial" w:hAnsi="Arial" w:cs="Arial"/>
          <w:b/>
          <w:bCs/>
          <w:color w:val="000000" w:themeColor="text1"/>
          <w:lang w:val="fr-CA"/>
        </w:rPr>
        <w:t xml:space="preserve"> des s</w:t>
      </w:r>
      <w:r w:rsidR="00D8610C" w:rsidRPr="007D1F47">
        <w:rPr>
          <w:rFonts w:ascii="Arial" w:hAnsi="Arial" w:cs="Arial"/>
          <w:b/>
          <w:bCs/>
          <w:color w:val="000000" w:themeColor="text1"/>
          <w:lang w:val="fr-CA"/>
        </w:rPr>
        <w:t>ubstances</w:t>
      </w:r>
      <w:r w:rsidR="00FD2228">
        <w:rPr>
          <w:rFonts w:ascii="Arial" w:hAnsi="Arial" w:cs="Arial"/>
          <w:b/>
          <w:bCs/>
          <w:color w:val="000000" w:themeColor="text1"/>
          <w:lang w:val="fr-CA"/>
        </w:rPr>
        <w:t xml:space="preserve"> interdites</w:t>
      </w:r>
    </w:p>
    <w:p w14:paraId="5BAB604E" w14:textId="77777777" w:rsidR="00A77BBA" w:rsidRPr="007D1F47" w:rsidRDefault="00A77BBA" w:rsidP="00545256">
      <w:pPr>
        <w:pStyle w:val="ListParagraph"/>
        <w:spacing w:after="0" w:line="240" w:lineRule="auto"/>
        <w:ind w:left="810"/>
        <w:jc w:val="both"/>
        <w:rPr>
          <w:rFonts w:ascii="Arial" w:hAnsi="Arial" w:cs="Arial"/>
          <w:b/>
          <w:bCs/>
          <w:color w:val="000000" w:themeColor="text1"/>
          <w:lang w:val="fr-CA"/>
        </w:rPr>
      </w:pPr>
    </w:p>
    <w:p w14:paraId="7A200B78" w14:textId="7650C8CE" w:rsidR="0073175B" w:rsidRPr="007D1F47" w:rsidRDefault="00265990" w:rsidP="00545256">
      <w:pPr>
        <w:spacing w:after="0" w:line="240" w:lineRule="auto"/>
        <w:ind w:left="810"/>
        <w:jc w:val="both"/>
        <w:rPr>
          <w:rFonts w:ascii="Arial" w:eastAsia="Verdana" w:hAnsi="Arial" w:cs="Arial"/>
          <w:lang w:val="fr-CA"/>
        </w:rPr>
      </w:pPr>
      <w:r w:rsidRPr="007D1F47">
        <w:rPr>
          <w:rFonts w:ascii="Arial" w:eastAsia="Verdana" w:hAnsi="Arial" w:cs="Arial"/>
          <w:b/>
          <w:bCs/>
          <w:color w:val="000000"/>
          <w:lang w:val="fr-CA"/>
        </w:rPr>
        <w:t>L</w:t>
      </w:r>
      <w:r w:rsidR="00FD2228">
        <w:rPr>
          <w:rFonts w:ascii="Arial" w:eastAsia="Verdana" w:hAnsi="Arial" w:cs="Arial"/>
          <w:b/>
          <w:bCs/>
          <w:color w:val="000000"/>
          <w:lang w:val="fr-CA"/>
        </w:rPr>
        <w:t>é</w:t>
      </w:r>
      <w:r w:rsidRPr="007D1F47">
        <w:rPr>
          <w:rFonts w:ascii="Arial" w:eastAsia="Verdana" w:hAnsi="Arial" w:cs="Arial"/>
          <w:b/>
          <w:bCs/>
          <w:color w:val="000000"/>
          <w:lang w:val="fr-CA"/>
        </w:rPr>
        <w:t>trozol</w:t>
      </w:r>
      <w:r w:rsidRPr="007D1F47">
        <w:rPr>
          <w:rFonts w:ascii="Arial" w:eastAsia="Verdana" w:hAnsi="Arial" w:cs="Arial"/>
          <w:b/>
          <w:bCs/>
          <w:lang w:val="fr-CA"/>
        </w:rPr>
        <w:t>e</w:t>
      </w:r>
      <w:r w:rsidRPr="007D1F47">
        <w:rPr>
          <w:rFonts w:ascii="Arial" w:eastAsia="Verdana" w:hAnsi="Arial" w:cs="Arial"/>
          <w:lang w:val="fr-CA"/>
        </w:rPr>
        <w:t xml:space="preserve"> (</w:t>
      </w:r>
      <w:r w:rsidR="00BE54CE">
        <w:rPr>
          <w:rFonts w:ascii="Arial" w:eastAsia="Verdana" w:hAnsi="Arial" w:cs="Arial"/>
          <w:lang w:val="fr-CA"/>
        </w:rPr>
        <w:t>inhibiteur de l’</w:t>
      </w:r>
      <w:r w:rsidRPr="007D1F47">
        <w:rPr>
          <w:rFonts w:ascii="Arial" w:eastAsia="Verdana" w:hAnsi="Arial" w:cs="Arial"/>
          <w:lang w:val="fr-CA"/>
        </w:rPr>
        <w:t>aromatase)</w:t>
      </w:r>
      <w:r w:rsidR="00BE54CE">
        <w:rPr>
          <w:rFonts w:ascii="Arial" w:eastAsia="Verdana" w:hAnsi="Arial" w:cs="Arial"/>
          <w:lang w:val="fr-CA"/>
        </w:rPr>
        <w:t xml:space="preserve"> – </w:t>
      </w:r>
      <w:r w:rsidR="008A5EB5">
        <w:rPr>
          <w:rFonts w:ascii="Arial" w:eastAsia="Verdana" w:hAnsi="Arial" w:cs="Arial"/>
          <w:lang w:val="fr-CA"/>
        </w:rPr>
        <w:t>d</w:t>
      </w:r>
      <w:r w:rsidR="00BE54CE">
        <w:rPr>
          <w:rFonts w:ascii="Arial" w:eastAsia="Verdana" w:hAnsi="Arial" w:cs="Arial"/>
          <w:lang w:val="fr-CA"/>
        </w:rPr>
        <w:t>ose quotidienne de 2,</w:t>
      </w:r>
      <w:r w:rsidRPr="007D1F47">
        <w:rPr>
          <w:rFonts w:ascii="Arial" w:eastAsia="Verdana" w:hAnsi="Arial" w:cs="Arial"/>
          <w:lang w:val="fr-CA"/>
        </w:rPr>
        <w:t>5</w:t>
      </w:r>
      <w:r w:rsidR="00BE54CE">
        <w:rPr>
          <w:rFonts w:ascii="Arial" w:eastAsia="Verdana" w:hAnsi="Arial" w:cs="Arial"/>
          <w:lang w:val="fr-CA"/>
        </w:rPr>
        <w:t> </w:t>
      </w:r>
      <w:r w:rsidRPr="007D1F47">
        <w:rPr>
          <w:rFonts w:ascii="Arial" w:eastAsia="Verdana" w:hAnsi="Arial" w:cs="Arial"/>
          <w:lang w:val="fr-CA"/>
        </w:rPr>
        <w:t xml:space="preserve">mg </w:t>
      </w:r>
      <w:r w:rsidR="00BE54CE">
        <w:rPr>
          <w:rFonts w:ascii="Arial" w:eastAsia="Verdana" w:hAnsi="Arial" w:cs="Arial"/>
          <w:lang w:val="fr-CA"/>
        </w:rPr>
        <w:t>à</w:t>
      </w:r>
      <w:r w:rsidR="0053432A" w:rsidRPr="007D1F47">
        <w:rPr>
          <w:rFonts w:ascii="Arial" w:eastAsia="Verdana" w:hAnsi="Arial" w:cs="Arial"/>
          <w:lang w:val="fr-CA"/>
        </w:rPr>
        <w:t xml:space="preserve"> 10</w:t>
      </w:r>
      <w:r w:rsidR="00BE54CE">
        <w:rPr>
          <w:rFonts w:ascii="Arial" w:eastAsia="Verdana" w:hAnsi="Arial" w:cs="Arial"/>
          <w:lang w:val="fr-CA"/>
        </w:rPr>
        <w:t> </w:t>
      </w:r>
      <w:r w:rsidR="0053432A" w:rsidRPr="007D1F47">
        <w:rPr>
          <w:rFonts w:ascii="Arial" w:eastAsia="Verdana" w:hAnsi="Arial" w:cs="Arial"/>
          <w:lang w:val="fr-CA"/>
        </w:rPr>
        <w:t xml:space="preserve">mg </w:t>
      </w:r>
      <w:r w:rsidR="00BE54CE">
        <w:rPr>
          <w:rFonts w:ascii="Arial" w:eastAsia="Verdana" w:hAnsi="Arial" w:cs="Arial"/>
          <w:lang w:val="fr-CA"/>
        </w:rPr>
        <w:t>par voie orale pendant cinq jours (jours 3 à 7 du cycle menstruel</w:t>
      </w:r>
      <w:r w:rsidRPr="007D1F47">
        <w:rPr>
          <w:rFonts w:ascii="Arial" w:eastAsia="Verdana" w:hAnsi="Arial" w:cs="Arial"/>
          <w:lang w:val="fr-CA"/>
        </w:rPr>
        <w:t>)</w:t>
      </w:r>
      <w:r w:rsidR="00BE54CE">
        <w:rPr>
          <w:rFonts w:ascii="Arial" w:eastAsia="Verdana" w:hAnsi="Arial" w:cs="Arial"/>
          <w:lang w:val="fr-CA"/>
        </w:rPr>
        <w:t xml:space="preserve"> pour stimuler l’</w:t>
      </w:r>
      <w:r w:rsidRPr="007D1F47">
        <w:rPr>
          <w:rFonts w:ascii="Arial" w:eastAsia="Verdana" w:hAnsi="Arial" w:cs="Arial"/>
          <w:lang w:val="fr-CA"/>
        </w:rPr>
        <w:t>ovulation</w:t>
      </w:r>
    </w:p>
    <w:p w14:paraId="138B6F72" w14:textId="77777777" w:rsidR="00953E40" w:rsidRPr="007D1F47" w:rsidRDefault="00953E40" w:rsidP="00545256">
      <w:pPr>
        <w:spacing w:after="0" w:line="240" w:lineRule="auto"/>
        <w:ind w:left="810"/>
        <w:jc w:val="both"/>
        <w:rPr>
          <w:rFonts w:ascii="Arial" w:eastAsia="Verdana" w:hAnsi="Arial" w:cs="Arial"/>
          <w:b/>
          <w:bCs/>
          <w:lang w:val="fr-CA"/>
        </w:rPr>
      </w:pPr>
    </w:p>
    <w:p w14:paraId="1A69D203" w14:textId="14092442" w:rsidR="0053432A" w:rsidRPr="007D1F47" w:rsidRDefault="00265990" w:rsidP="00545256">
      <w:pPr>
        <w:spacing w:after="0" w:line="240" w:lineRule="auto"/>
        <w:ind w:left="810"/>
        <w:jc w:val="both"/>
        <w:rPr>
          <w:rFonts w:ascii="Arial" w:eastAsia="Verdana" w:hAnsi="Arial" w:cs="Arial"/>
          <w:lang w:val="fr-CA"/>
        </w:rPr>
      </w:pPr>
      <w:r w:rsidRPr="007D1F47">
        <w:rPr>
          <w:rFonts w:ascii="Arial" w:eastAsia="Verdana" w:hAnsi="Arial" w:cs="Arial"/>
          <w:b/>
          <w:bCs/>
          <w:lang w:val="fr-CA"/>
        </w:rPr>
        <w:t>Clomi</w:t>
      </w:r>
      <w:r w:rsidR="00FD2228">
        <w:rPr>
          <w:rFonts w:ascii="Arial" w:eastAsia="Verdana" w:hAnsi="Arial" w:cs="Arial"/>
          <w:b/>
          <w:bCs/>
          <w:lang w:val="fr-CA"/>
        </w:rPr>
        <w:t>fè</w:t>
      </w:r>
      <w:r w:rsidRPr="007D1F47">
        <w:rPr>
          <w:rFonts w:ascii="Arial" w:eastAsia="Verdana" w:hAnsi="Arial" w:cs="Arial"/>
          <w:b/>
          <w:bCs/>
          <w:lang w:val="fr-CA"/>
        </w:rPr>
        <w:t>ne</w:t>
      </w:r>
      <w:r w:rsidRPr="007D1F47">
        <w:rPr>
          <w:rFonts w:ascii="Arial" w:eastAsia="Verdana" w:hAnsi="Arial" w:cs="Arial"/>
          <w:lang w:val="fr-CA"/>
        </w:rPr>
        <w:t xml:space="preserve"> </w:t>
      </w:r>
      <w:r w:rsidR="00BE54CE">
        <w:rPr>
          <w:rFonts w:ascii="Arial" w:eastAsia="Verdana" w:hAnsi="Arial" w:cs="Arial"/>
          <w:lang w:val="fr-CA"/>
        </w:rPr>
        <w:t xml:space="preserve">– </w:t>
      </w:r>
      <w:r w:rsidR="008A5EB5">
        <w:rPr>
          <w:rFonts w:ascii="Arial" w:eastAsia="Verdana" w:hAnsi="Arial" w:cs="Arial"/>
          <w:lang w:val="fr-CA"/>
        </w:rPr>
        <w:t>d</w:t>
      </w:r>
      <w:r w:rsidR="00BE54CE">
        <w:rPr>
          <w:rFonts w:ascii="Arial" w:eastAsia="Verdana" w:hAnsi="Arial" w:cs="Arial"/>
          <w:lang w:val="fr-CA"/>
        </w:rPr>
        <w:t>ose qu</w:t>
      </w:r>
      <w:r w:rsidR="008A5EB5">
        <w:rPr>
          <w:rFonts w:ascii="Arial" w:eastAsia="Verdana" w:hAnsi="Arial" w:cs="Arial"/>
          <w:lang w:val="fr-CA"/>
        </w:rPr>
        <w:t>otidienne</w:t>
      </w:r>
      <w:r w:rsidR="00BE54CE">
        <w:rPr>
          <w:rFonts w:ascii="Arial" w:eastAsia="Verdana" w:hAnsi="Arial" w:cs="Arial"/>
          <w:lang w:val="fr-CA"/>
        </w:rPr>
        <w:t xml:space="preserve"> de </w:t>
      </w:r>
      <w:r w:rsidRPr="007D1F47">
        <w:rPr>
          <w:rFonts w:ascii="Arial" w:eastAsia="Verdana" w:hAnsi="Arial" w:cs="Arial"/>
          <w:lang w:val="fr-CA"/>
        </w:rPr>
        <w:t>50</w:t>
      </w:r>
      <w:r w:rsidR="00BE54CE">
        <w:rPr>
          <w:rFonts w:ascii="Arial" w:eastAsia="Verdana" w:hAnsi="Arial" w:cs="Arial"/>
          <w:lang w:val="fr-CA"/>
        </w:rPr>
        <w:t xml:space="preserve"> à</w:t>
      </w:r>
      <w:r w:rsidR="00CE4388" w:rsidRPr="007D1F47">
        <w:rPr>
          <w:rFonts w:ascii="Arial" w:eastAsia="Verdana" w:hAnsi="Arial" w:cs="Arial"/>
          <w:lang w:val="fr-CA"/>
        </w:rPr>
        <w:t xml:space="preserve"> 150</w:t>
      </w:r>
      <w:r w:rsidR="00BE54CE">
        <w:rPr>
          <w:rFonts w:ascii="Arial" w:eastAsia="Verdana" w:hAnsi="Arial" w:cs="Arial"/>
          <w:lang w:val="fr-CA"/>
        </w:rPr>
        <w:t> </w:t>
      </w:r>
      <w:r w:rsidRPr="007D1F47">
        <w:rPr>
          <w:rFonts w:ascii="Arial" w:eastAsia="Verdana" w:hAnsi="Arial" w:cs="Arial"/>
          <w:lang w:val="fr-CA"/>
        </w:rPr>
        <w:t xml:space="preserve">mg </w:t>
      </w:r>
      <w:r w:rsidR="008A5EB5">
        <w:rPr>
          <w:rFonts w:ascii="Arial" w:eastAsia="Verdana" w:hAnsi="Arial" w:cs="Arial"/>
          <w:lang w:val="fr-CA"/>
        </w:rPr>
        <w:t>par voie orale pendant cinq jours (jours 5 à 9 du cycle menstruel) comme traitement de rechange pour stimuler l’</w:t>
      </w:r>
      <w:r w:rsidRPr="007D1F47">
        <w:rPr>
          <w:rFonts w:ascii="Arial" w:eastAsia="Verdana" w:hAnsi="Arial" w:cs="Arial"/>
          <w:lang w:val="fr-CA"/>
        </w:rPr>
        <w:t>ovulation</w:t>
      </w:r>
    </w:p>
    <w:p w14:paraId="7E9323AA" w14:textId="77777777" w:rsidR="00953E40" w:rsidRPr="007D1F47" w:rsidRDefault="00953E40" w:rsidP="00545256">
      <w:pPr>
        <w:spacing w:after="0" w:line="240" w:lineRule="auto"/>
        <w:ind w:left="810"/>
        <w:jc w:val="both"/>
        <w:rPr>
          <w:rFonts w:ascii="Arial" w:eastAsia="Verdana" w:hAnsi="Arial" w:cs="Arial"/>
          <w:lang w:val="fr-CA"/>
        </w:rPr>
      </w:pPr>
    </w:p>
    <w:p w14:paraId="46AEB823" w14:textId="525F0069" w:rsidR="0053432A" w:rsidRPr="007D1F47" w:rsidRDefault="00B7209F" w:rsidP="00545256">
      <w:pPr>
        <w:spacing w:after="0" w:line="240" w:lineRule="auto"/>
        <w:ind w:left="81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Il n’existe aucune donnée scientifique en faveur d’une supplémentation androgénique adjuvante comme </w:t>
      </w:r>
      <w:r w:rsidR="00904DBC">
        <w:rPr>
          <w:rFonts w:ascii="Arial" w:eastAsia="Verdana" w:hAnsi="Arial" w:cs="Arial"/>
          <w:lang w:val="fr-CA"/>
        </w:rPr>
        <w:t>la prise de</w:t>
      </w:r>
      <w:r w:rsidR="0053432A" w:rsidRPr="007D1F47">
        <w:rPr>
          <w:rFonts w:ascii="Arial" w:eastAsia="Verdana" w:hAnsi="Arial" w:cs="Arial"/>
          <w:lang w:val="fr-CA"/>
        </w:rPr>
        <w:t xml:space="preserve"> testost</w:t>
      </w:r>
      <w:r w:rsidR="00904DBC">
        <w:rPr>
          <w:rFonts w:ascii="Arial" w:eastAsia="Verdana" w:hAnsi="Arial" w:cs="Arial"/>
          <w:lang w:val="fr-CA"/>
        </w:rPr>
        <w:t>é</w:t>
      </w:r>
      <w:r w:rsidR="0053432A" w:rsidRPr="007D1F47">
        <w:rPr>
          <w:rFonts w:ascii="Arial" w:eastAsia="Verdana" w:hAnsi="Arial" w:cs="Arial"/>
          <w:lang w:val="fr-CA"/>
        </w:rPr>
        <w:t>rone</w:t>
      </w:r>
      <w:r w:rsidR="00FC7F5D" w:rsidRPr="007D1F47">
        <w:rPr>
          <w:rFonts w:ascii="Arial" w:eastAsia="Verdana" w:hAnsi="Arial" w:cs="Arial"/>
          <w:lang w:val="fr-CA"/>
        </w:rPr>
        <w:t xml:space="preserve"> o</w:t>
      </w:r>
      <w:r w:rsidR="00904DBC">
        <w:rPr>
          <w:rFonts w:ascii="Arial" w:eastAsia="Verdana" w:hAnsi="Arial" w:cs="Arial"/>
          <w:lang w:val="fr-CA"/>
        </w:rPr>
        <w:t xml:space="preserve">u de </w:t>
      </w:r>
      <w:proofErr w:type="spellStart"/>
      <w:r w:rsidR="00904DBC" w:rsidRPr="00955D47">
        <w:rPr>
          <w:rFonts w:ascii="Arial" w:eastAsia="Verdana" w:hAnsi="Arial" w:cs="Arial"/>
          <w:lang w:val="fr-CA"/>
        </w:rPr>
        <w:t>déhydroépiandrostérone</w:t>
      </w:r>
      <w:proofErr w:type="spellEnd"/>
      <w:r w:rsidR="00904DBC" w:rsidRPr="00955D47">
        <w:rPr>
          <w:rFonts w:ascii="Arial" w:eastAsia="Verdana" w:hAnsi="Arial" w:cs="Arial"/>
          <w:lang w:val="fr-CA"/>
        </w:rPr>
        <w:t xml:space="preserve"> (DHEA)</w:t>
      </w:r>
      <w:r w:rsidR="0053432A" w:rsidRPr="007D1F47">
        <w:rPr>
          <w:rFonts w:ascii="Arial" w:eastAsia="Verdana" w:hAnsi="Arial" w:cs="Arial"/>
          <w:lang w:val="fr-CA"/>
        </w:rPr>
        <w:t xml:space="preserve"> </w:t>
      </w:r>
      <w:r w:rsidR="00904DBC">
        <w:rPr>
          <w:rFonts w:ascii="Arial" w:eastAsia="Verdana" w:hAnsi="Arial" w:cs="Arial"/>
          <w:lang w:val="fr-CA"/>
        </w:rPr>
        <w:t>dans le cadre d’</w:t>
      </w:r>
      <w:r w:rsidR="00FD2228">
        <w:rPr>
          <w:rFonts w:ascii="Arial" w:eastAsia="Verdana" w:hAnsi="Arial" w:cs="Arial"/>
          <w:lang w:val="fr-CA"/>
        </w:rPr>
        <w:t>un traitement de FIV</w:t>
      </w:r>
      <w:r w:rsidR="0053432A" w:rsidRPr="007D1F47">
        <w:rPr>
          <w:rFonts w:ascii="Arial" w:eastAsia="Verdana" w:hAnsi="Arial" w:cs="Arial"/>
          <w:lang w:val="fr-CA"/>
        </w:rPr>
        <w:t>. </w:t>
      </w:r>
    </w:p>
    <w:p w14:paraId="18733EAD" w14:textId="55140337" w:rsidR="0073175B" w:rsidRPr="007D1F47" w:rsidRDefault="0073175B" w:rsidP="00545256">
      <w:pPr>
        <w:spacing w:after="0" w:line="240" w:lineRule="auto"/>
        <w:ind w:left="810"/>
        <w:jc w:val="both"/>
        <w:rPr>
          <w:rFonts w:ascii="Arial" w:eastAsia="Verdana" w:hAnsi="Arial" w:cs="Arial"/>
          <w:lang w:val="fr-CA"/>
        </w:rPr>
      </w:pPr>
    </w:p>
    <w:p w14:paraId="0F5B3F32" w14:textId="77777777" w:rsidR="00B7209F" w:rsidRPr="00B7209F" w:rsidRDefault="00B7209F" w:rsidP="0054525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810"/>
        <w:jc w:val="both"/>
        <w:rPr>
          <w:rFonts w:ascii="Arial" w:hAnsi="Arial" w:cs="Arial"/>
          <w:color w:val="000000"/>
          <w:lang w:val="fr-CA"/>
        </w:rPr>
      </w:pPr>
      <w:r w:rsidRPr="00B7209F">
        <w:rPr>
          <w:rFonts w:ascii="Arial" w:hAnsi="Arial" w:cs="Arial"/>
          <w:color w:val="000000"/>
          <w:lang w:val="fr-CA"/>
        </w:rPr>
        <w:t xml:space="preserve">Remarque : Il n’est pas toujours nécessaire d’avoir tenté en vain d’utiliser d’autres approches avant de faire usage de la substance ou de la méthode interdite. Le médecin doit expliquer </w:t>
      </w:r>
      <w:r w:rsidRPr="00B7209F">
        <w:rPr>
          <w:rFonts w:ascii="Arial" w:hAnsi="Arial" w:cs="Arial"/>
          <w:color w:val="000000"/>
          <w:lang w:val="fr-CA"/>
        </w:rPr>
        <w:lastRenderedPageBreak/>
        <w:t>pourquoi le traitement retenu était le plus approprié, par exemple sur la base de l’expérience, des profils d’effets secondaires ou d’autres justifications médicales, y compris, le cas échéant, une pratique médicale propre à une région géographique et la capacité à accéder au médicament.</w:t>
      </w:r>
    </w:p>
    <w:p w14:paraId="5DF9E879" w14:textId="77777777" w:rsidR="00B7209F" w:rsidRPr="00955D47" w:rsidRDefault="00B7209F" w:rsidP="0054525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1080"/>
        <w:jc w:val="both"/>
        <w:rPr>
          <w:color w:val="000000"/>
          <w:lang w:val="fr-CA"/>
        </w:rPr>
      </w:pPr>
    </w:p>
    <w:p w14:paraId="64867452" w14:textId="77777777" w:rsidR="00E2425D" w:rsidRPr="007D1F47" w:rsidRDefault="00E2425D" w:rsidP="00545256">
      <w:pPr>
        <w:spacing w:after="0" w:line="240" w:lineRule="auto"/>
        <w:rPr>
          <w:rFonts w:ascii="Arial" w:eastAsia="Verdana" w:hAnsi="Arial" w:cs="Arial"/>
          <w:lang w:val="fr-CA"/>
        </w:rPr>
      </w:pPr>
    </w:p>
    <w:p w14:paraId="18384319" w14:textId="28AFEF70" w:rsidR="0073175B" w:rsidRPr="007D1F47" w:rsidRDefault="00FD2228" w:rsidP="0054525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Verdana" w:hAnsi="Arial" w:cs="Arial"/>
          <w:b/>
          <w:color w:val="000000"/>
          <w:sz w:val="24"/>
          <w:szCs w:val="24"/>
          <w:lang w:val="fr-CA"/>
        </w:rPr>
      </w:pPr>
      <w:bookmarkStart w:id="1" w:name="_gjdgxs" w:colFirst="0" w:colLast="0"/>
      <w:bookmarkEnd w:id="1"/>
      <w:r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Autres traitements non interdit</w:t>
      </w:r>
      <w:r w:rsidR="001D060B" w:rsidRP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s</w:t>
      </w:r>
    </w:p>
    <w:p w14:paraId="4172DE2A" w14:textId="77777777" w:rsidR="0073175B" w:rsidRPr="007D1F47" w:rsidRDefault="0073175B" w:rsidP="0054525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ind w:left="360" w:hanging="360"/>
        <w:jc w:val="both"/>
        <w:rPr>
          <w:rFonts w:ascii="Arial" w:eastAsia="Verdana" w:hAnsi="Arial" w:cs="Arial"/>
          <w:color w:val="000000"/>
          <w:lang w:val="fr-CA"/>
        </w:rPr>
      </w:pPr>
    </w:p>
    <w:p w14:paraId="6EC1C10E" w14:textId="6FDFB4D3" w:rsidR="0073175B" w:rsidRPr="007D1F47" w:rsidRDefault="00265990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  <w:r w:rsidRPr="007D1F47">
        <w:rPr>
          <w:rFonts w:ascii="Arial" w:eastAsia="Verdana" w:hAnsi="Arial" w:cs="Arial"/>
          <w:b/>
          <w:bCs/>
          <w:lang w:val="fr-CA"/>
        </w:rPr>
        <w:t>Gonadotrophin</w:t>
      </w:r>
      <w:r w:rsidR="00FD2228">
        <w:rPr>
          <w:rFonts w:ascii="Arial" w:eastAsia="Verdana" w:hAnsi="Arial" w:cs="Arial"/>
          <w:b/>
          <w:bCs/>
          <w:lang w:val="fr-CA"/>
        </w:rPr>
        <w:t>e</w:t>
      </w:r>
      <w:r w:rsidRPr="007D1F47">
        <w:rPr>
          <w:rFonts w:ascii="Arial" w:eastAsia="Verdana" w:hAnsi="Arial" w:cs="Arial"/>
          <w:b/>
          <w:bCs/>
          <w:lang w:val="fr-CA"/>
        </w:rPr>
        <w:t>s</w:t>
      </w:r>
      <w:r w:rsidRPr="007D1F47">
        <w:rPr>
          <w:rFonts w:ascii="Arial" w:eastAsia="Verdana" w:hAnsi="Arial" w:cs="Arial"/>
          <w:lang w:val="fr-CA"/>
        </w:rPr>
        <w:t xml:space="preserve"> (FSH o</w:t>
      </w:r>
      <w:r w:rsidR="00FD2228">
        <w:rPr>
          <w:rFonts w:ascii="Arial" w:eastAsia="Verdana" w:hAnsi="Arial" w:cs="Arial"/>
          <w:lang w:val="fr-CA"/>
        </w:rPr>
        <w:t>u</w:t>
      </w:r>
      <w:r w:rsidR="00904DBC">
        <w:rPr>
          <w:rFonts w:ascii="Arial" w:eastAsia="Verdana" w:hAnsi="Arial" w:cs="Arial"/>
          <w:lang w:val="fr-CA"/>
        </w:rPr>
        <w:t xml:space="preserve"> association</w:t>
      </w:r>
      <w:r w:rsidRPr="007D1F47">
        <w:rPr>
          <w:rFonts w:ascii="Arial" w:eastAsia="Verdana" w:hAnsi="Arial" w:cs="Arial"/>
          <w:lang w:val="fr-CA"/>
        </w:rPr>
        <w:t xml:space="preserve"> FSH</w:t>
      </w:r>
      <w:r w:rsidR="00904DBC">
        <w:rPr>
          <w:rFonts w:ascii="Arial" w:eastAsia="Verdana" w:hAnsi="Arial" w:cs="Arial"/>
          <w:lang w:val="fr-CA"/>
        </w:rPr>
        <w:t>-</w:t>
      </w:r>
      <w:r w:rsidRPr="007D1F47">
        <w:rPr>
          <w:rFonts w:ascii="Arial" w:eastAsia="Verdana" w:hAnsi="Arial" w:cs="Arial"/>
          <w:lang w:val="fr-CA"/>
        </w:rPr>
        <w:t xml:space="preserve">LH) </w:t>
      </w:r>
      <w:r w:rsidR="00FD2228">
        <w:rPr>
          <w:rFonts w:ascii="Arial" w:eastAsia="Verdana" w:hAnsi="Arial" w:cs="Arial"/>
          <w:lang w:val="fr-CA"/>
        </w:rPr>
        <w:t xml:space="preserve">seules ou </w:t>
      </w:r>
      <w:r w:rsidR="00904DBC">
        <w:rPr>
          <w:rFonts w:ascii="Arial" w:eastAsia="Verdana" w:hAnsi="Arial" w:cs="Arial"/>
          <w:lang w:val="fr-CA"/>
        </w:rPr>
        <w:t>jumelées à</w:t>
      </w:r>
      <w:r w:rsidR="00FD2228">
        <w:rPr>
          <w:rFonts w:ascii="Arial" w:eastAsia="Verdana" w:hAnsi="Arial" w:cs="Arial"/>
          <w:lang w:val="fr-CA"/>
        </w:rPr>
        <w:t xml:space="preserve"> la FIV</w:t>
      </w:r>
      <w:r w:rsidRPr="007D1F47">
        <w:rPr>
          <w:rFonts w:ascii="Arial" w:eastAsia="Verdana" w:hAnsi="Arial" w:cs="Arial"/>
          <w:lang w:val="fr-CA"/>
        </w:rPr>
        <w:t xml:space="preserve"> </w:t>
      </w:r>
    </w:p>
    <w:p w14:paraId="46D3E035" w14:textId="77777777" w:rsidR="00953E40" w:rsidRPr="007D1F47" w:rsidRDefault="00953E40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</w:p>
    <w:p w14:paraId="1A182116" w14:textId="114DF095" w:rsidR="0073175B" w:rsidRPr="007D1F47" w:rsidRDefault="00FD2228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  <w:r w:rsidRPr="007D1F47">
        <w:rPr>
          <w:rFonts w:ascii="Arial" w:eastAsia="Verdana" w:hAnsi="Arial" w:cs="Arial"/>
          <w:b/>
          <w:bCs/>
          <w:lang w:val="fr-CA"/>
        </w:rPr>
        <w:t>Gonadotrop</w:t>
      </w:r>
      <w:r>
        <w:rPr>
          <w:rFonts w:ascii="Arial" w:eastAsia="Verdana" w:hAnsi="Arial" w:cs="Arial"/>
          <w:b/>
          <w:bCs/>
          <w:lang w:val="fr-CA"/>
        </w:rPr>
        <w:t>h</w:t>
      </w:r>
      <w:r w:rsidRPr="007D1F47">
        <w:rPr>
          <w:rFonts w:ascii="Arial" w:eastAsia="Verdana" w:hAnsi="Arial" w:cs="Arial"/>
          <w:b/>
          <w:bCs/>
          <w:lang w:val="fr-CA"/>
        </w:rPr>
        <w:t>in</w:t>
      </w:r>
      <w:r>
        <w:rPr>
          <w:rFonts w:ascii="Arial" w:eastAsia="Verdana" w:hAnsi="Arial" w:cs="Arial"/>
          <w:b/>
          <w:bCs/>
          <w:lang w:val="fr-CA"/>
        </w:rPr>
        <w:t>e ch</w:t>
      </w:r>
      <w:r w:rsidR="00265990" w:rsidRPr="007D1F47">
        <w:rPr>
          <w:rFonts w:ascii="Arial" w:eastAsia="Verdana" w:hAnsi="Arial" w:cs="Arial"/>
          <w:b/>
          <w:bCs/>
          <w:lang w:val="fr-CA"/>
        </w:rPr>
        <w:t>orioni</w:t>
      </w:r>
      <w:r>
        <w:rPr>
          <w:rFonts w:ascii="Arial" w:eastAsia="Verdana" w:hAnsi="Arial" w:cs="Arial"/>
          <w:b/>
          <w:bCs/>
          <w:lang w:val="fr-CA"/>
        </w:rPr>
        <w:t>que humaine</w:t>
      </w:r>
      <w:r w:rsidR="00265990" w:rsidRPr="007D1F47">
        <w:rPr>
          <w:rFonts w:ascii="Arial" w:eastAsia="Verdana" w:hAnsi="Arial" w:cs="Arial"/>
          <w:b/>
          <w:bCs/>
          <w:lang w:val="fr-CA"/>
        </w:rPr>
        <w:t xml:space="preserve"> (hCG)</w:t>
      </w:r>
      <w:r>
        <w:rPr>
          <w:rFonts w:ascii="Arial" w:eastAsia="Verdana" w:hAnsi="Arial" w:cs="Arial"/>
          <w:b/>
          <w:bCs/>
          <w:lang w:val="fr-CA"/>
        </w:rPr>
        <w:t> :</w:t>
      </w:r>
      <w:r w:rsidR="00265990" w:rsidRPr="007D1F47">
        <w:rPr>
          <w:rFonts w:ascii="Arial" w:eastAsia="Verdana" w:hAnsi="Arial" w:cs="Arial"/>
          <w:lang w:val="fr-CA"/>
        </w:rPr>
        <w:t xml:space="preserve"> </w:t>
      </w:r>
      <w:r>
        <w:rPr>
          <w:rFonts w:ascii="Arial" w:eastAsia="Verdana" w:hAnsi="Arial" w:cs="Arial"/>
          <w:lang w:val="fr-CA"/>
        </w:rPr>
        <w:t>son emploi est interdit en tout temps chez l’homme, mais ne l’est pas chez la femme. L’</w:t>
      </w:r>
      <w:r w:rsidR="00265990" w:rsidRPr="007D1F47">
        <w:rPr>
          <w:rFonts w:ascii="Arial" w:eastAsia="Verdana" w:hAnsi="Arial" w:cs="Arial"/>
          <w:lang w:val="fr-CA"/>
        </w:rPr>
        <w:t xml:space="preserve">hCG </w:t>
      </w:r>
      <w:r>
        <w:rPr>
          <w:rFonts w:ascii="Arial" w:eastAsia="Verdana" w:hAnsi="Arial" w:cs="Arial"/>
          <w:lang w:val="fr-CA"/>
        </w:rPr>
        <w:t xml:space="preserve">est administrée </w:t>
      </w:r>
      <w:r w:rsidR="004F45FE">
        <w:rPr>
          <w:rFonts w:ascii="Arial" w:eastAsia="Verdana" w:hAnsi="Arial" w:cs="Arial"/>
          <w:lang w:val="fr-CA"/>
        </w:rPr>
        <w:t>à raison d’une dose unique pour induire l’</w:t>
      </w:r>
      <w:r w:rsidR="00265990" w:rsidRPr="007D1F47">
        <w:rPr>
          <w:rFonts w:ascii="Arial" w:eastAsia="Verdana" w:hAnsi="Arial" w:cs="Arial"/>
          <w:lang w:val="fr-CA"/>
        </w:rPr>
        <w:t>ovulation</w:t>
      </w:r>
      <w:r w:rsidR="004F45FE">
        <w:rPr>
          <w:rFonts w:ascii="Arial" w:eastAsia="Verdana" w:hAnsi="Arial" w:cs="Arial"/>
          <w:lang w:val="fr-CA"/>
        </w:rPr>
        <w:t xml:space="preserve"> et en </w:t>
      </w:r>
      <w:r w:rsidR="00654870">
        <w:rPr>
          <w:rFonts w:ascii="Arial" w:eastAsia="Verdana" w:hAnsi="Arial" w:cs="Arial"/>
          <w:lang w:val="fr-CA"/>
        </w:rPr>
        <w:t>une</w:t>
      </w:r>
      <w:r w:rsidR="004F45FE">
        <w:rPr>
          <w:rFonts w:ascii="Arial" w:eastAsia="Verdana" w:hAnsi="Arial" w:cs="Arial"/>
          <w:lang w:val="fr-CA"/>
        </w:rPr>
        <w:t xml:space="preserve"> ou </w:t>
      </w:r>
      <w:r w:rsidR="00654870">
        <w:rPr>
          <w:rFonts w:ascii="Arial" w:eastAsia="Verdana" w:hAnsi="Arial" w:cs="Arial"/>
          <w:lang w:val="fr-CA"/>
        </w:rPr>
        <w:t>deux</w:t>
      </w:r>
      <w:r w:rsidR="004F45FE">
        <w:rPr>
          <w:rFonts w:ascii="Arial" w:eastAsia="Verdana" w:hAnsi="Arial" w:cs="Arial"/>
          <w:lang w:val="fr-CA"/>
        </w:rPr>
        <w:t xml:space="preserve"> injections durant la phase </w:t>
      </w:r>
      <w:r w:rsidR="00265990" w:rsidRPr="007D1F47">
        <w:rPr>
          <w:rFonts w:ascii="Arial" w:eastAsia="Verdana" w:hAnsi="Arial" w:cs="Arial"/>
          <w:lang w:val="fr-CA"/>
        </w:rPr>
        <w:t>lut</w:t>
      </w:r>
      <w:r w:rsidR="004F45FE">
        <w:rPr>
          <w:rFonts w:ascii="Arial" w:eastAsia="Verdana" w:hAnsi="Arial" w:cs="Arial"/>
          <w:lang w:val="fr-CA"/>
        </w:rPr>
        <w:t>é</w:t>
      </w:r>
      <w:r w:rsidR="00265990" w:rsidRPr="007D1F47">
        <w:rPr>
          <w:rFonts w:ascii="Arial" w:eastAsia="Verdana" w:hAnsi="Arial" w:cs="Arial"/>
          <w:lang w:val="fr-CA"/>
        </w:rPr>
        <w:t>al</w:t>
      </w:r>
      <w:r w:rsidR="004F45FE">
        <w:rPr>
          <w:rFonts w:ascii="Arial" w:eastAsia="Verdana" w:hAnsi="Arial" w:cs="Arial"/>
          <w:lang w:val="fr-CA"/>
        </w:rPr>
        <w:t>e</w:t>
      </w:r>
      <w:r w:rsidR="00265990" w:rsidRPr="007D1F47">
        <w:rPr>
          <w:rFonts w:ascii="Arial" w:eastAsia="Verdana" w:hAnsi="Arial" w:cs="Arial"/>
          <w:lang w:val="fr-CA"/>
        </w:rPr>
        <w:t xml:space="preserve">. </w:t>
      </w:r>
    </w:p>
    <w:p w14:paraId="32105728" w14:textId="77777777" w:rsidR="00953E40" w:rsidRPr="007D1F47" w:rsidRDefault="00953E40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</w:p>
    <w:p w14:paraId="2ABA0B28" w14:textId="38571760" w:rsidR="0073175B" w:rsidRPr="007D1F47" w:rsidRDefault="00265990" w:rsidP="00545256">
      <w:pPr>
        <w:spacing w:after="0" w:line="240" w:lineRule="auto"/>
        <w:ind w:left="360"/>
        <w:jc w:val="both"/>
        <w:rPr>
          <w:rFonts w:ascii="Arial" w:eastAsia="Verdana" w:hAnsi="Arial" w:cs="Arial"/>
          <w:b/>
          <w:bCs/>
          <w:lang w:val="fr-CA"/>
        </w:rPr>
      </w:pPr>
      <w:r w:rsidRPr="007D1F47">
        <w:rPr>
          <w:rFonts w:ascii="Arial" w:eastAsia="Verdana" w:hAnsi="Arial" w:cs="Arial"/>
          <w:b/>
          <w:bCs/>
          <w:lang w:val="fr-CA"/>
        </w:rPr>
        <w:t>Metformin</w:t>
      </w:r>
      <w:r w:rsidR="00FD2228">
        <w:rPr>
          <w:rFonts w:ascii="Arial" w:eastAsia="Verdana" w:hAnsi="Arial" w:cs="Arial"/>
          <w:b/>
          <w:bCs/>
          <w:lang w:val="fr-CA"/>
        </w:rPr>
        <w:t>e</w:t>
      </w:r>
    </w:p>
    <w:p w14:paraId="0429FFAA" w14:textId="77777777" w:rsidR="00953E40" w:rsidRPr="007D1F47" w:rsidRDefault="00953E40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</w:p>
    <w:p w14:paraId="3E4ABFEB" w14:textId="7E88781D" w:rsidR="0073175B" w:rsidRPr="007D1F47" w:rsidRDefault="00265990" w:rsidP="00545256">
      <w:pPr>
        <w:spacing w:after="0" w:line="240" w:lineRule="auto"/>
        <w:ind w:left="360"/>
        <w:jc w:val="both"/>
        <w:rPr>
          <w:rFonts w:ascii="Arial" w:eastAsia="Arial" w:hAnsi="Arial" w:cs="Arial"/>
          <w:lang w:val="fr-CA"/>
        </w:rPr>
      </w:pPr>
      <w:r w:rsidRPr="007D1F47">
        <w:rPr>
          <w:rFonts w:ascii="Arial" w:eastAsia="Verdana" w:hAnsi="Arial" w:cs="Arial"/>
          <w:b/>
          <w:bCs/>
          <w:lang w:val="fr-CA"/>
        </w:rPr>
        <w:t xml:space="preserve">Inositol </w:t>
      </w:r>
      <w:r w:rsidR="00FD2228">
        <w:rPr>
          <w:rFonts w:ascii="Arial" w:eastAsia="Verdana" w:hAnsi="Arial" w:cs="Arial"/>
          <w:lang w:val="fr-CA"/>
        </w:rPr>
        <w:t>et produits connexe</w:t>
      </w:r>
      <w:r w:rsidRPr="007D1F47">
        <w:rPr>
          <w:rFonts w:ascii="Arial" w:eastAsia="Verdana" w:hAnsi="Arial" w:cs="Arial"/>
          <w:lang w:val="fr-CA"/>
        </w:rPr>
        <w:t>s</w:t>
      </w:r>
    </w:p>
    <w:p w14:paraId="54B171A9" w14:textId="5AB17565" w:rsidR="0073175B" w:rsidRPr="007D1F47" w:rsidRDefault="0073175B" w:rsidP="00545256">
      <w:pPr>
        <w:spacing w:after="0" w:line="240" w:lineRule="auto"/>
        <w:ind w:left="1080" w:hanging="720"/>
        <w:rPr>
          <w:rFonts w:ascii="Arial" w:eastAsia="Arial" w:hAnsi="Arial" w:cs="Arial"/>
          <w:lang w:val="fr-CA"/>
        </w:rPr>
      </w:pPr>
    </w:p>
    <w:p w14:paraId="366251B0" w14:textId="77777777" w:rsidR="0073175B" w:rsidRPr="007D1F47" w:rsidRDefault="0073175B" w:rsidP="00545256">
      <w:pPr>
        <w:spacing w:after="0" w:line="240" w:lineRule="auto"/>
        <w:rPr>
          <w:rFonts w:ascii="Arial" w:hAnsi="Arial" w:cs="Arial"/>
          <w:b/>
          <w:lang w:val="fr-CA"/>
        </w:rPr>
      </w:pPr>
    </w:p>
    <w:p w14:paraId="74E498FD" w14:textId="2B02B026" w:rsidR="0073175B" w:rsidRPr="007D1F47" w:rsidRDefault="00265990" w:rsidP="0054525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Verdana" w:hAnsi="Arial" w:cs="Arial"/>
          <w:b/>
          <w:sz w:val="24"/>
          <w:szCs w:val="24"/>
          <w:lang w:val="fr-CA"/>
        </w:rPr>
      </w:pPr>
      <w:r w:rsidRP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Cons</w:t>
      </w:r>
      <w:r w:rsidR="00FD2228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é</w:t>
      </w:r>
      <w:r w:rsidRP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quences</w:t>
      </w:r>
      <w:r w:rsidRPr="007D1F47">
        <w:rPr>
          <w:rFonts w:ascii="Arial" w:eastAsia="Verdana" w:hAnsi="Arial" w:cs="Arial"/>
          <w:b/>
          <w:sz w:val="24"/>
          <w:szCs w:val="24"/>
          <w:lang w:val="fr-CA"/>
        </w:rPr>
        <w:t xml:space="preserve"> </w:t>
      </w:r>
      <w:r w:rsidR="00FD2228">
        <w:rPr>
          <w:rFonts w:ascii="Arial" w:eastAsia="Verdana" w:hAnsi="Arial" w:cs="Arial"/>
          <w:b/>
          <w:sz w:val="24"/>
          <w:szCs w:val="24"/>
          <w:lang w:val="fr-CA"/>
        </w:rPr>
        <w:t>pour la santé en cas d’absence de traitement</w:t>
      </w:r>
    </w:p>
    <w:p w14:paraId="00CE09C4" w14:textId="77777777" w:rsidR="0073175B" w:rsidRPr="007D1F47" w:rsidRDefault="0073175B" w:rsidP="0054525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900"/>
        </w:tabs>
        <w:spacing w:after="0" w:line="240" w:lineRule="auto"/>
        <w:ind w:left="360" w:hanging="360"/>
        <w:jc w:val="both"/>
        <w:rPr>
          <w:rFonts w:ascii="Arial" w:eastAsia="Verdana" w:hAnsi="Arial" w:cs="Arial"/>
          <w:b/>
          <w:color w:val="000000"/>
          <w:lang w:val="fr-CA"/>
        </w:rPr>
      </w:pPr>
    </w:p>
    <w:p w14:paraId="7B594E62" w14:textId="1234ABF2" w:rsidR="0073175B" w:rsidRPr="007D1F47" w:rsidRDefault="004F45FE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On note une diminution importante de la qualité de vie si l’infertilité persiste. </w:t>
      </w:r>
      <w:r w:rsidR="00225577">
        <w:rPr>
          <w:rFonts w:ascii="Arial" w:eastAsia="Verdana" w:hAnsi="Arial" w:cs="Arial"/>
          <w:lang w:val="fr-CA"/>
        </w:rPr>
        <w:t>Dans le cas où</w:t>
      </w:r>
      <w:r>
        <w:rPr>
          <w:rFonts w:ascii="Arial" w:eastAsia="Verdana" w:hAnsi="Arial" w:cs="Arial"/>
          <w:lang w:val="fr-CA"/>
        </w:rPr>
        <w:t xml:space="preserve"> le traitement est amorcé tardivement, une infertilité liée à l’âge peut exacerber les causes sous-jacentes de l’infertilité initiale.  </w:t>
      </w:r>
    </w:p>
    <w:p w14:paraId="2F81CE26" w14:textId="77777777" w:rsidR="00E2425D" w:rsidRPr="007D1F47" w:rsidRDefault="00E2425D" w:rsidP="00545256">
      <w:pPr>
        <w:spacing w:after="0" w:line="240" w:lineRule="auto"/>
        <w:ind w:left="360"/>
        <w:rPr>
          <w:rFonts w:ascii="Arial" w:eastAsia="Verdana" w:hAnsi="Arial" w:cs="Arial"/>
          <w:lang w:val="fr-CA"/>
        </w:rPr>
      </w:pPr>
    </w:p>
    <w:p w14:paraId="2C210FEC" w14:textId="5171BA08" w:rsidR="005A3A6E" w:rsidRDefault="005A3A6E">
      <w:pPr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br w:type="page"/>
      </w:r>
    </w:p>
    <w:p w14:paraId="0B6C9B97" w14:textId="0C2AB9F5" w:rsidR="0073175B" w:rsidRPr="007D1F47" w:rsidRDefault="00FD2228" w:rsidP="0054525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Verdana" w:hAnsi="Arial" w:cs="Arial"/>
          <w:b/>
          <w:color w:val="000000"/>
          <w:sz w:val="24"/>
          <w:szCs w:val="24"/>
          <w:lang w:val="fr-CA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Surveillance du traitement</w:t>
      </w:r>
    </w:p>
    <w:p w14:paraId="6099B4F0" w14:textId="77777777" w:rsidR="0073175B" w:rsidRPr="007D1F47" w:rsidRDefault="0073175B" w:rsidP="00545256">
      <w:pPr>
        <w:spacing w:after="0" w:line="240" w:lineRule="auto"/>
        <w:jc w:val="both"/>
        <w:rPr>
          <w:rFonts w:ascii="Arial" w:eastAsia="Verdana" w:hAnsi="Arial" w:cs="Arial"/>
          <w:i/>
          <w:lang w:val="fr-CA"/>
        </w:rPr>
      </w:pPr>
    </w:p>
    <w:p w14:paraId="03BF472A" w14:textId="52799116" w:rsidR="0073175B" w:rsidRPr="007D1F47" w:rsidRDefault="00CE7534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>Un suivi individuel du</w:t>
      </w:r>
      <w:r w:rsidR="004F45FE">
        <w:rPr>
          <w:rFonts w:ascii="Arial" w:eastAsia="Verdana" w:hAnsi="Arial" w:cs="Arial"/>
          <w:lang w:val="fr-CA"/>
        </w:rPr>
        <w:t xml:space="preserve"> traitement de l’infertilité </w:t>
      </w:r>
      <w:r>
        <w:rPr>
          <w:rFonts w:ascii="Arial" w:eastAsia="Verdana" w:hAnsi="Arial" w:cs="Arial"/>
          <w:lang w:val="fr-CA"/>
        </w:rPr>
        <w:t xml:space="preserve">est assuré </w:t>
      </w:r>
      <w:r w:rsidR="00D934EA">
        <w:rPr>
          <w:rFonts w:ascii="Arial" w:eastAsia="Verdana" w:hAnsi="Arial" w:cs="Arial"/>
          <w:lang w:val="fr-CA"/>
        </w:rPr>
        <w:t>par de</w:t>
      </w:r>
      <w:r>
        <w:rPr>
          <w:rFonts w:ascii="Arial" w:eastAsia="Verdana" w:hAnsi="Arial" w:cs="Arial"/>
          <w:lang w:val="fr-CA"/>
        </w:rPr>
        <w:t xml:space="preserve"> fréquentes </w:t>
      </w:r>
      <w:r w:rsidR="00D934EA">
        <w:rPr>
          <w:rFonts w:ascii="Arial" w:eastAsia="Verdana" w:hAnsi="Arial" w:cs="Arial"/>
          <w:lang w:val="fr-CA"/>
        </w:rPr>
        <w:t xml:space="preserve">échographies </w:t>
      </w:r>
      <w:r>
        <w:rPr>
          <w:rFonts w:ascii="Arial" w:eastAsia="Verdana" w:hAnsi="Arial" w:cs="Arial"/>
          <w:lang w:val="fr-CA"/>
        </w:rPr>
        <w:t xml:space="preserve">et </w:t>
      </w:r>
      <w:r w:rsidR="004F45FE">
        <w:rPr>
          <w:rFonts w:ascii="Arial" w:eastAsia="Verdana" w:hAnsi="Arial" w:cs="Arial"/>
          <w:lang w:val="fr-CA"/>
        </w:rPr>
        <w:t>d</w:t>
      </w:r>
      <w:r w:rsidR="00D934EA">
        <w:rPr>
          <w:rFonts w:ascii="Arial" w:eastAsia="Verdana" w:hAnsi="Arial" w:cs="Arial"/>
          <w:lang w:val="fr-CA"/>
        </w:rPr>
        <w:t xml:space="preserve">es </w:t>
      </w:r>
      <w:r w:rsidR="004F45FE">
        <w:rPr>
          <w:rFonts w:ascii="Arial" w:eastAsia="Verdana" w:hAnsi="Arial" w:cs="Arial"/>
          <w:lang w:val="fr-CA"/>
        </w:rPr>
        <w:t xml:space="preserve">analyses de sang visant à </w:t>
      </w:r>
      <w:r>
        <w:rPr>
          <w:rFonts w:ascii="Arial" w:eastAsia="Verdana" w:hAnsi="Arial" w:cs="Arial"/>
          <w:lang w:val="fr-CA"/>
        </w:rPr>
        <w:t>évaluer les taux d’hormones</w:t>
      </w:r>
      <w:r w:rsidR="00265990" w:rsidRPr="007D1F47">
        <w:rPr>
          <w:rFonts w:ascii="Arial" w:eastAsia="Verdana" w:hAnsi="Arial" w:cs="Arial"/>
          <w:lang w:val="fr-CA"/>
        </w:rPr>
        <w:t>.</w:t>
      </w:r>
    </w:p>
    <w:p w14:paraId="1E8086C1" w14:textId="43BE4F8A" w:rsidR="00C17092" w:rsidRPr="007D1F47" w:rsidRDefault="00C17092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</w:p>
    <w:p w14:paraId="76FE2829" w14:textId="77777777" w:rsidR="00C17092" w:rsidRPr="007D1F47" w:rsidRDefault="00C17092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</w:p>
    <w:p w14:paraId="62E473E9" w14:textId="136B2FBF" w:rsidR="0073175B" w:rsidRPr="007D1F47" w:rsidRDefault="00FD2228" w:rsidP="0054525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Verdana" w:hAnsi="Arial" w:cs="Arial"/>
          <w:color w:val="000000"/>
          <w:sz w:val="24"/>
          <w:szCs w:val="24"/>
          <w:lang w:val="fr-CA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Validité de l’AUT</w:t>
      </w:r>
    </w:p>
    <w:p w14:paraId="713F8DCE" w14:textId="77777777" w:rsidR="0073175B" w:rsidRPr="007D1F47" w:rsidRDefault="0073175B" w:rsidP="00545256">
      <w:pPr>
        <w:spacing w:after="0" w:line="240" w:lineRule="auto"/>
        <w:jc w:val="both"/>
        <w:rPr>
          <w:rFonts w:ascii="Arial" w:eastAsia="Verdana" w:hAnsi="Arial" w:cs="Arial"/>
          <w:lang w:val="fr-CA"/>
        </w:rPr>
      </w:pPr>
    </w:p>
    <w:p w14:paraId="2E3001B6" w14:textId="0809D040" w:rsidR="0073175B" w:rsidRPr="007D1F47" w:rsidRDefault="00D934EA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t xml:space="preserve">La validité recommandée d’une AUT pour le traitement de l’infertilité </w:t>
      </w:r>
      <w:r w:rsidR="00BE54CE">
        <w:rPr>
          <w:rFonts w:ascii="Arial" w:eastAsia="Verdana" w:hAnsi="Arial" w:cs="Arial"/>
          <w:lang w:val="fr-CA"/>
        </w:rPr>
        <w:t>féminine</w:t>
      </w:r>
      <w:r>
        <w:rPr>
          <w:rFonts w:ascii="Arial" w:eastAsia="Verdana" w:hAnsi="Arial" w:cs="Arial"/>
          <w:lang w:val="fr-CA"/>
        </w:rPr>
        <w:t xml:space="preserve"> est </w:t>
      </w:r>
      <w:proofErr w:type="gramStart"/>
      <w:r>
        <w:rPr>
          <w:rFonts w:ascii="Arial" w:eastAsia="Verdana" w:hAnsi="Arial" w:cs="Arial"/>
          <w:lang w:val="fr-CA"/>
        </w:rPr>
        <w:t>de un</w:t>
      </w:r>
      <w:proofErr w:type="gramEnd"/>
      <w:r>
        <w:rPr>
          <w:rFonts w:ascii="Arial" w:eastAsia="Verdana" w:hAnsi="Arial" w:cs="Arial"/>
          <w:lang w:val="fr-CA"/>
        </w:rPr>
        <w:t xml:space="preserve"> (1) an</w:t>
      </w:r>
      <w:r w:rsidR="00265990" w:rsidRPr="007D1F47">
        <w:rPr>
          <w:rFonts w:ascii="Arial" w:eastAsia="Verdana" w:hAnsi="Arial" w:cs="Arial"/>
          <w:lang w:val="fr-CA"/>
        </w:rPr>
        <w:t>. D</w:t>
      </w:r>
      <w:r>
        <w:rPr>
          <w:rFonts w:ascii="Arial" w:eastAsia="Verdana" w:hAnsi="Arial" w:cs="Arial"/>
          <w:lang w:val="fr-CA"/>
        </w:rPr>
        <w:t>es données attestant des effets du ou des traitements d</w:t>
      </w:r>
      <w:r w:rsidR="00225577">
        <w:rPr>
          <w:rFonts w:ascii="Arial" w:eastAsia="Verdana" w:hAnsi="Arial" w:cs="Arial"/>
          <w:lang w:val="fr-CA"/>
        </w:rPr>
        <w:t>oive</w:t>
      </w:r>
      <w:r>
        <w:rPr>
          <w:rFonts w:ascii="Arial" w:eastAsia="Verdana" w:hAnsi="Arial" w:cs="Arial"/>
          <w:lang w:val="fr-CA"/>
        </w:rPr>
        <w:t xml:space="preserve">nt être fournies lorsque la demande d’AUT est présentée après la période </w:t>
      </w:r>
      <w:r w:rsidR="00265990" w:rsidRPr="007D1F47">
        <w:rPr>
          <w:rFonts w:ascii="Arial" w:eastAsia="Verdana" w:hAnsi="Arial" w:cs="Arial"/>
          <w:lang w:val="fr-CA"/>
        </w:rPr>
        <w:t>initial</w:t>
      </w:r>
      <w:r>
        <w:rPr>
          <w:rFonts w:ascii="Arial" w:eastAsia="Verdana" w:hAnsi="Arial" w:cs="Arial"/>
          <w:lang w:val="fr-CA"/>
        </w:rPr>
        <w:t>e de traitement</w:t>
      </w:r>
      <w:r w:rsidR="00265990" w:rsidRPr="007D1F47">
        <w:rPr>
          <w:rFonts w:ascii="Arial" w:eastAsia="Verdana" w:hAnsi="Arial" w:cs="Arial"/>
          <w:lang w:val="fr-CA"/>
        </w:rPr>
        <w:t>.</w:t>
      </w:r>
    </w:p>
    <w:p w14:paraId="2977B9E2" w14:textId="77777777" w:rsidR="001D48D4" w:rsidRPr="007D1F47" w:rsidRDefault="001D48D4" w:rsidP="00545256">
      <w:pPr>
        <w:spacing w:after="0" w:line="240" w:lineRule="auto"/>
        <w:jc w:val="both"/>
        <w:rPr>
          <w:rFonts w:ascii="Arial" w:eastAsia="Verdana" w:hAnsi="Arial" w:cs="Arial"/>
          <w:lang w:val="fr-CA"/>
        </w:rPr>
      </w:pPr>
    </w:p>
    <w:p w14:paraId="77EF1288" w14:textId="77777777" w:rsidR="0073175B" w:rsidRPr="007D1F47" w:rsidRDefault="0073175B" w:rsidP="00545256">
      <w:pPr>
        <w:spacing w:after="0" w:line="240" w:lineRule="auto"/>
        <w:jc w:val="both"/>
        <w:rPr>
          <w:rFonts w:ascii="Arial" w:eastAsia="Verdana" w:hAnsi="Arial" w:cs="Arial"/>
          <w:lang w:val="fr-CA"/>
        </w:rPr>
      </w:pPr>
    </w:p>
    <w:p w14:paraId="29A6DF8C" w14:textId="6D942516" w:rsidR="0073175B" w:rsidRPr="007D1F47" w:rsidRDefault="00FD2228" w:rsidP="00545256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Verdana" w:hAnsi="Arial" w:cs="Arial"/>
          <w:b/>
          <w:color w:val="000000"/>
          <w:sz w:val="24"/>
          <w:szCs w:val="24"/>
          <w:lang w:val="fr-CA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Précautions adéquate</w:t>
      </w:r>
      <w:r w:rsidR="00222210" w:rsidRP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s</w:t>
      </w:r>
    </w:p>
    <w:p w14:paraId="01DAC652" w14:textId="77777777" w:rsidR="0073175B" w:rsidRPr="007D1F47" w:rsidRDefault="0073175B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Verdana" w:hAnsi="Arial" w:cs="Arial"/>
          <w:b/>
          <w:color w:val="000000"/>
          <w:lang w:val="fr-CA"/>
        </w:rPr>
      </w:pPr>
    </w:p>
    <w:p w14:paraId="6E41F709" w14:textId="5A5E5239" w:rsidR="005B3791" w:rsidRPr="007D1F47" w:rsidRDefault="00D934EA" w:rsidP="00545256">
      <w:pPr>
        <w:spacing w:after="0" w:line="240" w:lineRule="auto"/>
        <w:ind w:left="360"/>
        <w:jc w:val="both"/>
        <w:rPr>
          <w:rFonts w:ascii="Arial" w:eastAsia="Verdana" w:hAnsi="Arial" w:cs="Arial"/>
          <w:lang w:val="fr-CA"/>
        </w:rPr>
      </w:pPr>
      <w:r>
        <w:rPr>
          <w:rFonts w:ascii="Arial" w:eastAsia="Verdana" w:hAnsi="Arial" w:cs="Arial"/>
          <w:lang w:val="fr-CA"/>
        </w:rPr>
        <w:lastRenderedPageBreak/>
        <w:t xml:space="preserve">La fécondation </w:t>
      </w:r>
      <w:r w:rsidRPr="00D934EA">
        <w:rPr>
          <w:rFonts w:ascii="Arial" w:eastAsia="Verdana" w:hAnsi="Arial" w:cs="Arial"/>
          <w:i/>
          <w:iCs/>
          <w:lang w:val="fr-CA"/>
        </w:rPr>
        <w:t>i</w:t>
      </w:r>
      <w:r w:rsidR="005B3791" w:rsidRPr="00D934EA">
        <w:rPr>
          <w:rFonts w:ascii="Arial" w:eastAsia="Verdana" w:hAnsi="Arial" w:cs="Arial"/>
          <w:i/>
          <w:iCs/>
          <w:lang w:val="fr-CA"/>
        </w:rPr>
        <w:t>n</w:t>
      </w:r>
      <w:r w:rsidRPr="00D934EA">
        <w:rPr>
          <w:rFonts w:ascii="Arial" w:eastAsia="Verdana" w:hAnsi="Arial" w:cs="Arial"/>
          <w:i/>
          <w:iCs/>
          <w:lang w:val="fr-CA"/>
        </w:rPr>
        <w:t> </w:t>
      </w:r>
      <w:r w:rsidR="005B3791" w:rsidRPr="00D934EA">
        <w:rPr>
          <w:rFonts w:ascii="Arial" w:eastAsia="Verdana" w:hAnsi="Arial" w:cs="Arial"/>
          <w:i/>
          <w:iCs/>
          <w:lang w:val="fr-CA"/>
        </w:rPr>
        <w:t>vitro</w:t>
      </w:r>
      <w:r w:rsidR="005B3791" w:rsidRPr="007D1F47">
        <w:rPr>
          <w:rFonts w:ascii="Arial" w:eastAsia="Verdana" w:hAnsi="Arial" w:cs="Arial"/>
          <w:lang w:val="fr-CA"/>
        </w:rPr>
        <w:t xml:space="preserve"> </w:t>
      </w:r>
      <w:r>
        <w:rPr>
          <w:rFonts w:ascii="Arial" w:eastAsia="Verdana" w:hAnsi="Arial" w:cs="Arial"/>
          <w:lang w:val="fr-CA"/>
        </w:rPr>
        <w:t>exige</w:t>
      </w:r>
      <w:r w:rsidR="00FC16B6">
        <w:rPr>
          <w:rFonts w:ascii="Arial" w:eastAsia="Verdana" w:hAnsi="Arial" w:cs="Arial"/>
          <w:lang w:val="fr-CA"/>
        </w:rPr>
        <w:t xml:space="preserve"> l’administration </w:t>
      </w:r>
      <w:r w:rsidR="003E36FB">
        <w:rPr>
          <w:rFonts w:ascii="Arial" w:eastAsia="Verdana" w:hAnsi="Arial" w:cs="Arial"/>
          <w:lang w:val="fr-CA"/>
        </w:rPr>
        <w:t>de g</w:t>
      </w:r>
      <w:r w:rsidR="005B3791" w:rsidRPr="007D1F47">
        <w:rPr>
          <w:rFonts w:ascii="Arial" w:eastAsia="Verdana" w:hAnsi="Arial" w:cs="Arial"/>
          <w:lang w:val="fr-CA"/>
        </w:rPr>
        <w:t>onadotrophin</w:t>
      </w:r>
      <w:r>
        <w:rPr>
          <w:rFonts w:ascii="Arial" w:eastAsia="Verdana" w:hAnsi="Arial" w:cs="Arial"/>
          <w:lang w:val="fr-CA"/>
        </w:rPr>
        <w:t>e</w:t>
      </w:r>
      <w:r w:rsidR="005B3791" w:rsidRPr="007D1F47">
        <w:rPr>
          <w:rFonts w:ascii="Arial" w:eastAsia="Verdana" w:hAnsi="Arial" w:cs="Arial"/>
          <w:lang w:val="fr-CA"/>
        </w:rPr>
        <w:t>s</w:t>
      </w:r>
      <w:r w:rsidR="003E36FB">
        <w:rPr>
          <w:rFonts w:ascii="Arial" w:eastAsia="Verdana" w:hAnsi="Arial" w:cs="Arial"/>
          <w:lang w:val="fr-CA"/>
        </w:rPr>
        <w:t xml:space="preserve"> </w:t>
      </w:r>
      <w:r w:rsidR="003E36FB" w:rsidRPr="007D1F47">
        <w:rPr>
          <w:rFonts w:ascii="Arial" w:eastAsia="Verdana" w:hAnsi="Arial" w:cs="Arial"/>
          <w:lang w:val="fr-CA"/>
        </w:rPr>
        <w:t>injectable</w:t>
      </w:r>
      <w:r w:rsidR="003E36FB">
        <w:rPr>
          <w:rFonts w:ascii="Arial" w:eastAsia="Verdana" w:hAnsi="Arial" w:cs="Arial"/>
          <w:lang w:val="fr-CA"/>
        </w:rPr>
        <w:t>s ou de leurs analogues</w:t>
      </w:r>
      <w:r>
        <w:rPr>
          <w:rFonts w:ascii="Arial" w:eastAsia="Verdana" w:hAnsi="Arial" w:cs="Arial"/>
          <w:lang w:val="fr-CA"/>
        </w:rPr>
        <w:t xml:space="preserve">, </w:t>
      </w:r>
      <w:r w:rsidR="00FC16B6">
        <w:rPr>
          <w:rFonts w:ascii="Arial" w:eastAsia="Verdana" w:hAnsi="Arial" w:cs="Arial"/>
          <w:lang w:val="fr-CA"/>
        </w:rPr>
        <w:t>comme des agonistes et des antagonistes de la</w:t>
      </w:r>
      <w:r w:rsidR="005B3791" w:rsidRPr="007D1F47">
        <w:rPr>
          <w:rFonts w:ascii="Arial" w:eastAsia="Verdana" w:hAnsi="Arial" w:cs="Arial"/>
          <w:lang w:val="fr-CA"/>
        </w:rPr>
        <w:t xml:space="preserve"> GnRH. </w:t>
      </w:r>
      <w:r w:rsidR="00FC16B6">
        <w:rPr>
          <w:rFonts w:ascii="Arial" w:eastAsia="Verdana" w:hAnsi="Arial" w:cs="Arial"/>
          <w:lang w:val="fr-CA"/>
        </w:rPr>
        <w:t>Certains traitements nécessitent un prétraitement prolongé par des agonistes de</w:t>
      </w:r>
      <w:r w:rsidR="003E36FB">
        <w:rPr>
          <w:rFonts w:ascii="Arial" w:eastAsia="Verdana" w:hAnsi="Arial" w:cs="Arial"/>
          <w:lang w:val="fr-CA"/>
        </w:rPr>
        <w:t xml:space="preserve"> la</w:t>
      </w:r>
      <w:r w:rsidR="00FC16B6">
        <w:rPr>
          <w:rFonts w:ascii="Arial" w:eastAsia="Verdana" w:hAnsi="Arial" w:cs="Arial"/>
          <w:lang w:val="fr-CA"/>
        </w:rPr>
        <w:t xml:space="preserve"> </w:t>
      </w:r>
      <w:r w:rsidR="005B3791" w:rsidRPr="007D1F47">
        <w:rPr>
          <w:rFonts w:ascii="Arial" w:eastAsia="Verdana" w:hAnsi="Arial" w:cs="Arial"/>
          <w:lang w:val="fr-CA"/>
        </w:rPr>
        <w:t>GnRH.</w:t>
      </w:r>
    </w:p>
    <w:p w14:paraId="40F6DDB4" w14:textId="56B30E87" w:rsidR="0073175B" w:rsidRPr="007D1F47" w:rsidRDefault="0073175B" w:rsidP="00545256">
      <w:pPr>
        <w:spacing w:after="0" w:line="240" w:lineRule="auto"/>
        <w:rPr>
          <w:rFonts w:ascii="Arial" w:eastAsia="Verdana" w:hAnsi="Arial" w:cs="Arial"/>
          <w:lang w:val="fr-CA"/>
        </w:rPr>
      </w:pPr>
    </w:p>
    <w:p w14:paraId="2E412DF5" w14:textId="21CDFD0F" w:rsidR="003F66BB" w:rsidRPr="007D1F47" w:rsidRDefault="003F66BB" w:rsidP="00545256">
      <w:pPr>
        <w:spacing w:after="0" w:line="240" w:lineRule="auto"/>
        <w:rPr>
          <w:rFonts w:ascii="Arial" w:eastAsia="Verdana" w:hAnsi="Arial" w:cs="Arial"/>
          <w:lang w:val="fr-CA"/>
        </w:rPr>
      </w:pPr>
      <w:r w:rsidRPr="007D1F47">
        <w:rPr>
          <w:rFonts w:ascii="Arial" w:eastAsia="Verdana" w:hAnsi="Arial" w:cs="Arial"/>
          <w:lang w:val="fr-CA"/>
        </w:rPr>
        <w:br w:type="page"/>
      </w:r>
    </w:p>
    <w:p w14:paraId="59A418C9" w14:textId="720B3919" w:rsidR="0073175B" w:rsidRPr="007D1F47" w:rsidRDefault="00E2425D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Arial" w:eastAsia="Verdana" w:hAnsi="Arial" w:cs="Arial"/>
          <w:b/>
          <w:color w:val="000000"/>
          <w:sz w:val="24"/>
          <w:szCs w:val="24"/>
          <w:lang w:val="fr-CA"/>
        </w:rPr>
      </w:pPr>
      <w:r w:rsidRP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lastRenderedPageBreak/>
        <w:t>R</w:t>
      </w:r>
      <w:r w:rsid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éfé</w:t>
      </w:r>
      <w:r w:rsidRPr="007D1F47">
        <w:rPr>
          <w:rFonts w:ascii="Arial" w:eastAsia="Verdana" w:hAnsi="Arial" w:cs="Arial"/>
          <w:b/>
          <w:color w:val="000000"/>
          <w:sz w:val="24"/>
          <w:szCs w:val="24"/>
          <w:lang w:val="fr-CA"/>
        </w:rPr>
        <w:t>rences</w:t>
      </w:r>
    </w:p>
    <w:p w14:paraId="0757B210" w14:textId="77777777" w:rsidR="0073175B" w:rsidRPr="007D1F47" w:rsidRDefault="0073175B" w:rsidP="005452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Arial" w:eastAsia="Verdana" w:hAnsi="Arial" w:cs="Arial"/>
          <w:b/>
          <w:lang w:val="fr-CA"/>
        </w:rPr>
      </w:pPr>
    </w:p>
    <w:p w14:paraId="4A56B786" w14:textId="4804CB1D" w:rsidR="0073175B" w:rsidRPr="008C5E2A" w:rsidRDefault="00265990" w:rsidP="00545256">
      <w:pPr>
        <w:pStyle w:val="ListParagraph"/>
        <w:numPr>
          <w:ilvl w:val="0"/>
          <w:numId w:val="13"/>
        </w:numPr>
        <w:spacing w:after="0" w:line="240" w:lineRule="auto"/>
        <w:ind w:left="990" w:hanging="450"/>
        <w:rPr>
          <w:rFonts w:ascii="Arial" w:eastAsia="Verdana" w:hAnsi="Arial" w:cs="Arial"/>
          <w:lang w:val="fr-CA"/>
        </w:rPr>
      </w:pPr>
      <w:r w:rsidRPr="00955D47">
        <w:rPr>
          <w:rFonts w:ascii="Arial" w:eastAsia="Verdana" w:hAnsi="Arial" w:cs="Arial"/>
          <w:lang w:val="en-GB"/>
        </w:rPr>
        <w:t xml:space="preserve">Fertility problems: assessment and treatment Clinical Guideline (CG156). </w:t>
      </w:r>
      <w:r w:rsidR="007D1F47">
        <w:rPr>
          <w:rFonts w:ascii="Arial" w:eastAsia="Verdana" w:hAnsi="Arial" w:cs="Arial"/>
          <w:lang w:val="fr-CA"/>
        </w:rPr>
        <w:t>Date de publication : février 2</w:t>
      </w:r>
      <w:r w:rsidRPr="007D1F47">
        <w:rPr>
          <w:rFonts w:ascii="Arial" w:eastAsia="Verdana" w:hAnsi="Arial" w:cs="Arial"/>
          <w:lang w:val="fr-CA"/>
        </w:rPr>
        <w:t xml:space="preserve">013. </w:t>
      </w:r>
      <w:r w:rsidR="00654870">
        <w:rPr>
          <w:rFonts w:ascii="Arial" w:eastAsia="Verdana" w:hAnsi="Arial" w:cs="Arial"/>
          <w:lang w:val="fr-CA"/>
        </w:rPr>
        <w:t>Dernière mise à jour : s</w:t>
      </w:r>
      <w:r w:rsidRPr="007D1F47">
        <w:rPr>
          <w:rFonts w:ascii="Arial" w:eastAsia="Verdana" w:hAnsi="Arial" w:cs="Arial"/>
          <w:lang w:val="fr-CA"/>
        </w:rPr>
        <w:t>eptemb</w:t>
      </w:r>
      <w:r w:rsidR="00654870">
        <w:rPr>
          <w:rFonts w:ascii="Arial" w:eastAsia="Verdana" w:hAnsi="Arial" w:cs="Arial"/>
          <w:lang w:val="fr-CA"/>
        </w:rPr>
        <w:t>r</w:t>
      </w:r>
      <w:r w:rsidRPr="007D1F47">
        <w:rPr>
          <w:rFonts w:ascii="Arial" w:eastAsia="Verdana" w:hAnsi="Arial" w:cs="Arial"/>
          <w:lang w:val="fr-CA"/>
        </w:rPr>
        <w:t>e</w:t>
      </w:r>
      <w:r w:rsidR="00654870">
        <w:rPr>
          <w:rFonts w:ascii="Arial" w:eastAsia="Verdana" w:hAnsi="Arial" w:cs="Arial"/>
          <w:lang w:val="fr-CA"/>
        </w:rPr>
        <w:t> </w:t>
      </w:r>
      <w:r w:rsidRPr="007D1F47">
        <w:rPr>
          <w:rFonts w:ascii="Arial" w:eastAsia="Verdana" w:hAnsi="Arial" w:cs="Arial"/>
          <w:lang w:val="fr-CA"/>
        </w:rPr>
        <w:t xml:space="preserve">2017. National Institute for </w:t>
      </w:r>
      <w:proofErr w:type="spellStart"/>
      <w:r w:rsidRPr="007D1F47">
        <w:rPr>
          <w:rFonts w:ascii="Arial" w:eastAsia="Verdana" w:hAnsi="Arial" w:cs="Arial"/>
          <w:lang w:val="fr-CA"/>
        </w:rPr>
        <w:t>Health</w:t>
      </w:r>
      <w:proofErr w:type="spellEnd"/>
      <w:r w:rsidRPr="007D1F47">
        <w:rPr>
          <w:rFonts w:ascii="Arial" w:eastAsia="Verdana" w:hAnsi="Arial" w:cs="Arial"/>
          <w:lang w:val="fr-CA"/>
        </w:rPr>
        <w:t xml:space="preserve"> Care </w:t>
      </w:r>
      <w:proofErr w:type="spellStart"/>
      <w:r w:rsidRPr="007D1F47">
        <w:rPr>
          <w:rFonts w:ascii="Arial" w:eastAsia="Verdana" w:hAnsi="Arial" w:cs="Arial"/>
          <w:lang w:val="fr-CA"/>
        </w:rPr>
        <w:t>Systems</w:t>
      </w:r>
      <w:proofErr w:type="spellEnd"/>
      <w:r w:rsidRPr="007D1F47">
        <w:rPr>
          <w:rFonts w:ascii="Arial" w:eastAsia="Verdana" w:hAnsi="Arial" w:cs="Arial"/>
          <w:lang w:val="fr-CA"/>
        </w:rPr>
        <w:t xml:space="preserve">. </w:t>
      </w:r>
      <w:hyperlink r:id="rId11">
        <w:r w:rsidRPr="007D1F47">
          <w:rPr>
            <w:rFonts w:ascii="Arial" w:eastAsia="Verdana" w:hAnsi="Arial" w:cs="Arial"/>
            <w:color w:val="1155CC"/>
            <w:u w:val="single"/>
            <w:lang w:val="fr-CA"/>
          </w:rPr>
          <w:t>www.nice.org.uk</w:t>
        </w:r>
      </w:hyperlink>
    </w:p>
    <w:p w14:paraId="511A23FB" w14:textId="77777777" w:rsidR="008C5E2A" w:rsidRPr="007D1F47" w:rsidRDefault="008C5E2A" w:rsidP="00545256">
      <w:pPr>
        <w:pStyle w:val="ListParagraph"/>
        <w:spacing w:after="0" w:line="240" w:lineRule="auto"/>
        <w:ind w:left="990"/>
        <w:rPr>
          <w:rFonts w:ascii="Arial" w:eastAsia="Verdana" w:hAnsi="Arial" w:cs="Arial"/>
          <w:lang w:val="fr-CA"/>
        </w:rPr>
      </w:pPr>
    </w:p>
    <w:p w14:paraId="7BCB73DB" w14:textId="7AF0F4D1" w:rsidR="0073175B" w:rsidRPr="00955D47" w:rsidRDefault="00265990" w:rsidP="00545256">
      <w:pPr>
        <w:pStyle w:val="ListParagraph"/>
        <w:numPr>
          <w:ilvl w:val="0"/>
          <w:numId w:val="13"/>
        </w:numPr>
        <w:spacing w:after="0" w:line="240" w:lineRule="auto"/>
        <w:ind w:left="990" w:hanging="450"/>
        <w:rPr>
          <w:rFonts w:ascii="Arial" w:eastAsia="Verdana" w:hAnsi="Arial" w:cs="Arial"/>
          <w:lang w:val="en-GB"/>
        </w:rPr>
      </w:pPr>
      <w:r w:rsidRPr="00955D47">
        <w:rPr>
          <w:rFonts w:ascii="Arial" w:eastAsia="Verdana" w:hAnsi="Arial" w:cs="Arial"/>
          <w:lang w:val="en-GB"/>
        </w:rPr>
        <w:t xml:space="preserve">ESHRE </w:t>
      </w:r>
      <w:r w:rsidR="007D1F47" w:rsidRPr="00955D47">
        <w:rPr>
          <w:rFonts w:ascii="Arial" w:eastAsia="Verdana" w:hAnsi="Arial" w:cs="Arial"/>
          <w:lang w:val="en-GB"/>
        </w:rPr>
        <w:t>g</w:t>
      </w:r>
      <w:r w:rsidRPr="00955D47">
        <w:rPr>
          <w:rFonts w:ascii="Arial" w:eastAsia="Verdana" w:hAnsi="Arial" w:cs="Arial"/>
          <w:lang w:val="en-GB"/>
        </w:rPr>
        <w:t>uideline</w:t>
      </w:r>
      <w:r w:rsidR="007D1F47" w:rsidRPr="00955D47">
        <w:rPr>
          <w:rFonts w:ascii="Arial" w:eastAsia="Verdana" w:hAnsi="Arial" w:cs="Arial"/>
          <w:lang w:val="en-GB"/>
        </w:rPr>
        <w:t xml:space="preserve">: </w:t>
      </w:r>
      <w:r w:rsidRPr="00955D47">
        <w:rPr>
          <w:rFonts w:ascii="Arial" w:eastAsia="Verdana" w:hAnsi="Arial" w:cs="Arial"/>
          <w:lang w:val="en-GB"/>
        </w:rPr>
        <w:t xml:space="preserve">ovarian </w:t>
      </w:r>
      <w:r w:rsidR="007D1F47" w:rsidRPr="00955D47">
        <w:rPr>
          <w:rFonts w:ascii="Arial" w:eastAsia="Verdana" w:hAnsi="Arial" w:cs="Arial"/>
          <w:lang w:val="en-GB"/>
        </w:rPr>
        <w:t>s</w:t>
      </w:r>
      <w:r w:rsidRPr="00955D47">
        <w:rPr>
          <w:rFonts w:ascii="Arial" w:eastAsia="Verdana" w:hAnsi="Arial" w:cs="Arial"/>
          <w:lang w:val="en-GB"/>
        </w:rPr>
        <w:t>timulation for IVF/ICSI</w:t>
      </w:r>
      <w:r w:rsidR="007D1F47" w:rsidRPr="00955D47">
        <w:rPr>
          <w:rFonts w:ascii="Arial" w:eastAsia="Verdana" w:hAnsi="Arial" w:cs="Arial"/>
          <w:lang w:val="en-GB"/>
        </w:rPr>
        <w:t>,</w:t>
      </w:r>
      <w:r w:rsidRPr="00955D47">
        <w:rPr>
          <w:rFonts w:ascii="Arial" w:eastAsia="Verdana" w:hAnsi="Arial" w:cs="Arial"/>
          <w:lang w:val="en-GB"/>
        </w:rPr>
        <w:t xml:space="preserve"> 2019</w:t>
      </w:r>
      <w:r w:rsidR="007D1F47" w:rsidRPr="00955D47">
        <w:rPr>
          <w:rFonts w:ascii="Arial" w:eastAsia="Verdana" w:hAnsi="Arial" w:cs="Arial"/>
          <w:lang w:val="en-GB"/>
        </w:rPr>
        <w:t>.</w:t>
      </w:r>
    </w:p>
    <w:p w14:paraId="27586F2E" w14:textId="77777777" w:rsidR="0073175B" w:rsidRPr="00955D47" w:rsidRDefault="0073175B" w:rsidP="00545256">
      <w:pPr>
        <w:tabs>
          <w:tab w:val="left" w:pos="360"/>
        </w:tabs>
        <w:spacing w:after="0" w:line="240" w:lineRule="auto"/>
        <w:rPr>
          <w:rFonts w:ascii="Arial" w:eastAsia="Verdana" w:hAnsi="Arial" w:cs="Arial"/>
          <w:lang w:val="en-GB"/>
        </w:rPr>
      </w:pPr>
    </w:p>
    <w:p w14:paraId="06AE105B" w14:textId="77777777" w:rsidR="0073175B" w:rsidRPr="00955D47" w:rsidRDefault="0073175B" w:rsidP="00545256">
      <w:pPr>
        <w:tabs>
          <w:tab w:val="left" w:pos="1660"/>
        </w:tabs>
        <w:spacing w:after="0" w:line="240" w:lineRule="auto"/>
        <w:rPr>
          <w:rFonts w:ascii="Arial" w:eastAsia="Verdana" w:hAnsi="Arial" w:cs="Arial"/>
          <w:color w:val="A6A6A6"/>
          <w:lang w:val="en-GB"/>
        </w:rPr>
      </w:pPr>
    </w:p>
    <w:sectPr w:rsidR="0073175B" w:rsidRPr="00955D47" w:rsidSect="000F64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260" w:right="1170" w:bottom="619" w:left="99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6853" w14:textId="77777777" w:rsidR="008828B6" w:rsidRDefault="008828B6">
      <w:pPr>
        <w:spacing w:after="0" w:line="240" w:lineRule="auto"/>
      </w:pPr>
      <w:r>
        <w:separator/>
      </w:r>
    </w:p>
  </w:endnote>
  <w:endnote w:type="continuationSeparator" w:id="0">
    <w:p w14:paraId="2F4B8407" w14:textId="77777777" w:rsidR="008828B6" w:rsidRDefault="0088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0303" w14:textId="77777777" w:rsidR="0073175B" w:rsidRDefault="007317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2144" w14:textId="22836543" w:rsidR="007D1F47" w:rsidRPr="007D1F47" w:rsidRDefault="007D1F47" w:rsidP="007D1F47">
    <w:pPr>
      <w:pStyle w:val="Footer"/>
      <w:rPr>
        <w:rFonts w:ascii="Arial" w:hAnsi="Arial" w:cs="Arial"/>
        <w:sz w:val="18"/>
        <w:szCs w:val="18"/>
        <w:lang w:val="fr-CA"/>
      </w:rPr>
    </w:pPr>
    <w:r w:rsidRPr="007D1F47">
      <w:rPr>
        <w:rFonts w:ascii="Arial" w:hAnsi="Arial" w:cs="Arial"/>
        <w:sz w:val="18"/>
        <w:lang w:val="fr-CA"/>
      </w:rPr>
      <w:t xml:space="preserve">© AMA – Programme </w:t>
    </w:r>
    <w:r w:rsidRPr="007D1F47">
      <w:rPr>
        <w:rFonts w:ascii="Arial" w:hAnsi="Arial" w:cs="Arial"/>
        <w:sz w:val="18"/>
        <w:szCs w:val="18"/>
        <w:lang w:val="fr-CA"/>
      </w:rPr>
      <w:t>mondial antidopag</w:t>
    </w:r>
    <w:r w:rsidR="006B71B6">
      <w:rPr>
        <w:rFonts w:ascii="Arial" w:hAnsi="Arial" w:cs="Arial"/>
        <w:sz w:val="18"/>
        <w:szCs w:val="18"/>
        <w:lang w:val="fr-CA"/>
      </w:rPr>
      <w:t>e</w:t>
    </w:r>
  </w:p>
  <w:p w14:paraId="3E1DBA34" w14:textId="092490F3" w:rsidR="00511BA2" w:rsidRPr="007D1F47" w:rsidRDefault="007D1F47" w:rsidP="007D1F47">
    <w:pPr>
      <w:pStyle w:val="Footer"/>
      <w:tabs>
        <w:tab w:val="clear" w:pos="4320"/>
        <w:tab w:val="clear" w:pos="8640"/>
        <w:tab w:val="right" w:pos="8400"/>
      </w:tabs>
      <w:rPr>
        <w:rFonts w:ascii="Arial" w:hAnsi="Arial" w:cs="Arial"/>
        <w:sz w:val="18"/>
        <w:szCs w:val="18"/>
        <w:lang w:val="fr-CA"/>
      </w:rPr>
    </w:pPr>
    <w:r w:rsidRPr="007D1F47">
      <w:rPr>
        <w:rFonts w:ascii="Arial" w:hAnsi="Arial" w:cs="Arial"/>
        <w:sz w:val="18"/>
        <w:szCs w:val="18"/>
        <w:lang w:val="fr-CA"/>
      </w:rPr>
      <w:t xml:space="preserve">Lignes directrices sur les </w:t>
    </w:r>
    <w:r w:rsidRPr="007D1F47">
      <w:rPr>
        <w:rFonts w:ascii="Arial" w:hAnsi="Arial" w:cs="Arial"/>
        <w:iCs/>
        <w:sz w:val="18"/>
        <w:szCs w:val="18"/>
        <w:lang w:val="fr-CA"/>
      </w:rPr>
      <w:t>AUT</w:t>
    </w:r>
    <w:r w:rsidRPr="007D1F47">
      <w:rPr>
        <w:rFonts w:ascii="Arial" w:hAnsi="Arial" w:cs="Arial"/>
        <w:sz w:val="18"/>
        <w:szCs w:val="18"/>
        <w:lang w:val="fr-CA"/>
      </w:rPr>
      <w:t xml:space="preserve"> à l’intention des médecins </w:t>
    </w:r>
    <w:r w:rsidR="00511BA2" w:rsidRPr="007D1F47">
      <w:rPr>
        <w:rFonts w:ascii="Arial" w:hAnsi="Arial" w:cs="Arial"/>
        <w:sz w:val="18"/>
        <w:szCs w:val="18"/>
        <w:lang w:val="fr-CA"/>
      </w:rPr>
      <w:t>– Infertilit</w:t>
    </w:r>
    <w:r w:rsidRPr="007D1F47">
      <w:rPr>
        <w:rFonts w:ascii="Arial" w:hAnsi="Arial" w:cs="Arial"/>
        <w:sz w:val="18"/>
        <w:szCs w:val="18"/>
        <w:lang w:val="fr-CA"/>
      </w:rPr>
      <w:t xml:space="preserve">é </w:t>
    </w:r>
    <w:r w:rsidR="00662AB2">
      <w:rPr>
        <w:rFonts w:ascii="Arial" w:hAnsi="Arial" w:cs="Arial"/>
        <w:sz w:val="18"/>
        <w:szCs w:val="18"/>
        <w:lang w:val="fr-CA"/>
      </w:rPr>
      <w:t>féminine</w:t>
    </w:r>
    <w:r w:rsidR="00511BA2" w:rsidRPr="007D1F47">
      <w:rPr>
        <w:rFonts w:ascii="Arial" w:hAnsi="Arial" w:cs="Arial"/>
        <w:sz w:val="18"/>
        <w:szCs w:val="18"/>
        <w:lang w:val="fr-CA"/>
      </w:rPr>
      <w:t xml:space="preserve"> – Version </w:t>
    </w:r>
    <w:r w:rsidR="00AD3939" w:rsidRPr="007D1F47">
      <w:rPr>
        <w:rFonts w:ascii="Arial" w:hAnsi="Arial" w:cs="Arial"/>
        <w:sz w:val="18"/>
        <w:szCs w:val="18"/>
        <w:lang w:val="fr-CA"/>
      </w:rPr>
      <w:t xml:space="preserve">1.0 – </w:t>
    </w:r>
    <w:r w:rsidR="006B71B6">
      <w:rPr>
        <w:rFonts w:ascii="Arial" w:hAnsi="Arial" w:cs="Arial"/>
        <w:sz w:val="18"/>
        <w:szCs w:val="18"/>
        <w:lang w:val="fr-CA"/>
      </w:rPr>
      <w:t xml:space="preserve">Décembre </w:t>
    </w:r>
    <w:r w:rsidR="00AD3939" w:rsidRPr="007D1F47">
      <w:rPr>
        <w:rFonts w:ascii="Arial" w:hAnsi="Arial" w:cs="Arial"/>
        <w:sz w:val="18"/>
        <w:szCs w:val="18"/>
        <w:lang w:val="fr-CA"/>
      </w:rPr>
      <w:t>2021</w:t>
    </w:r>
  </w:p>
  <w:p w14:paraId="15CD166D" w14:textId="77777777" w:rsidR="00511BA2" w:rsidRPr="007D1F47" w:rsidRDefault="00511BA2" w:rsidP="00511BA2">
    <w:pPr>
      <w:pStyle w:val="Footer"/>
      <w:tabs>
        <w:tab w:val="clear" w:pos="4320"/>
        <w:tab w:val="clear" w:pos="8640"/>
        <w:tab w:val="right" w:pos="8400"/>
      </w:tabs>
      <w:rPr>
        <w:rFonts w:ascii="Arial" w:hAnsi="Arial" w:cs="Arial"/>
        <w:sz w:val="18"/>
        <w:szCs w:val="18"/>
        <w:lang w:val="fr-CA"/>
      </w:rPr>
    </w:pPr>
  </w:p>
  <w:p w14:paraId="32C1D24B" w14:textId="3FAF8E1B" w:rsidR="0073175B" w:rsidRPr="007D1F47" w:rsidRDefault="00511BA2" w:rsidP="00511BA2">
    <w:pPr>
      <w:pStyle w:val="Footer"/>
      <w:ind w:firstLine="9090"/>
      <w:rPr>
        <w:rFonts w:ascii="Arial" w:hAnsi="Arial" w:cs="Arial"/>
        <w:sz w:val="18"/>
        <w:szCs w:val="18"/>
        <w:lang w:val="fr-CA"/>
      </w:rPr>
    </w:pPr>
    <w:r w:rsidRPr="007D1F47">
      <w:rPr>
        <w:rFonts w:ascii="Arial" w:hAnsi="Arial" w:cs="Arial"/>
        <w:sz w:val="18"/>
        <w:szCs w:val="18"/>
        <w:lang w:val="fr-CA"/>
      </w:rPr>
      <w:t xml:space="preserve">Page </w:t>
    </w:r>
    <w:r w:rsidRPr="007D1F47">
      <w:rPr>
        <w:rFonts w:ascii="Arial" w:hAnsi="Arial" w:cs="Arial"/>
        <w:sz w:val="18"/>
        <w:szCs w:val="18"/>
        <w:lang w:val="fr-CA"/>
      </w:rPr>
      <w:fldChar w:fldCharType="begin"/>
    </w:r>
    <w:r w:rsidRPr="007D1F47">
      <w:rPr>
        <w:rFonts w:ascii="Arial" w:hAnsi="Arial" w:cs="Arial"/>
        <w:sz w:val="18"/>
        <w:szCs w:val="18"/>
        <w:lang w:val="fr-CA"/>
      </w:rPr>
      <w:instrText xml:space="preserve"> PAGE  \* Arabic  \* MERGEFORMAT </w:instrText>
    </w:r>
    <w:r w:rsidRPr="007D1F47">
      <w:rPr>
        <w:rFonts w:ascii="Arial" w:hAnsi="Arial" w:cs="Arial"/>
        <w:sz w:val="18"/>
        <w:szCs w:val="18"/>
        <w:lang w:val="fr-CA"/>
      </w:rPr>
      <w:fldChar w:fldCharType="separate"/>
    </w:r>
    <w:r w:rsidRPr="007D1F47">
      <w:rPr>
        <w:rFonts w:ascii="Arial" w:hAnsi="Arial" w:cs="Arial"/>
        <w:sz w:val="18"/>
        <w:szCs w:val="18"/>
        <w:lang w:val="fr-CA"/>
      </w:rPr>
      <w:t>2</w:t>
    </w:r>
    <w:r w:rsidRPr="007D1F47">
      <w:rPr>
        <w:rFonts w:ascii="Arial" w:hAnsi="Arial" w:cs="Arial"/>
        <w:sz w:val="18"/>
        <w:szCs w:val="18"/>
        <w:lang w:val="fr-CA"/>
      </w:rPr>
      <w:fldChar w:fldCharType="end"/>
    </w:r>
    <w:r w:rsidRPr="007D1F47">
      <w:rPr>
        <w:rFonts w:ascii="Arial" w:hAnsi="Arial" w:cs="Arial"/>
        <w:sz w:val="18"/>
        <w:szCs w:val="18"/>
        <w:lang w:val="fr-CA"/>
      </w:rPr>
      <w:t xml:space="preserve"> </w:t>
    </w:r>
    <w:r w:rsidR="007D1F47" w:rsidRPr="007D1F47">
      <w:rPr>
        <w:rFonts w:ascii="Arial" w:hAnsi="Arial" w:cs="Arial"/>
        <w:sz w:val="18"/>
        <w:szCs w:val="18"/>
        <w:lang w:val="fr-CA"/>
      </w:rPr>
      <w:t>de</w:t>
    </w:r>
    <w:r w:rsidRPr="007D1F47">
      <w:rPr>
        <w:rFonts w:ascii="Arial" w:hAnsi="Arial" w:cs="Arial"/>
        <w:sz w:val="18"/>
        <w:szCs w:val="18"/>
        <w:lang w:val="fr-CA"/>
      </w:rPr>
      <w:t xml:space="preserve"> </w:t>
    </w:r>
    <w:r w:rsidRPr="007D1F47">
      <w:rPr>
        <w:rFonts w:ascii="Arial" w:hAnsi="Arial" w:cs="Arial"/>
        <w:sz w:val="18"/>
        <w:szCs w:val="18"/>
        <w:lang w:val="fr-CA"/>
      </w:rPr>
      <w:fldChar w:fldCharType="begin"/>
    </w:r>
    <w:r w:rsidRPr="007D1F47">
      <w:rPr>
        <w:rFonts w:ascii="Arial" w:hAnsi="Arial" w:cs="Arial"/>
        <w:sz w:val="18"/>
        <w:szCs w:val="18"/>
        <w:lang w:val="fr-CA"/>
      </w:rPr>
      <w:instrText xml:space="preserve"> NUMPAGES  \* Arabic  \* MERGEFORMAT </w:instrText>
    </w:r>
    <w:r w:rsidRPr="007D1F47">
      <w:rPr>
        <w:rFonts w:ascii="Arial" w:hAnsi="Arial" w:cs="Arial"/>
        <w:sz w:val="18"/>
        <w:szCs w:val="18"/>
        <w:lang w:val="fr-CA"/>
      </w:rPr>
      <w:fldChar w:fldCharType="separate"/>
    </w:r>
    <w:r w:rsidRPr="007D1F47">
      <w:rPr>
        <w:rFonts w:ascii="Arial" w:hAnsi="Arial" w:cs="Arial"/>
        <w:sz w:val="18"/>
        <w:szCs w:val="18"/>
        <w:lang w:val="fr-CA"/>
      </w:rPr>
      <w:t>3</w:t>
    </w:r>
    <w:r w:rsidRPr="007D1F47">
      <w:rPr>
        <w:rFonts w:ascii="Arial" w:hAnsi="Arial" w:cs="Arial"/>
        <w:sz w:val="18"/>
        <w:szCs w:val="18"/>
        <w:lang w:val="fr-C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8081F" w14:textId="77777777" w:rsidR="00BB7F5C" w:rsidRDefault="00BB7F5C" w:rsidP="00BB7F5C">
    <w:pPr>
      <w:pStyle w:val="Footer"/>
      <w:rPr>
        <w:rFonts w:ascii="Arial" w:hAnsi="Arial" w:cs="Arial"/>
        <w:sz w:val="16"/>
        <w:szCs w:val="16"/>
      </w:rPr>
    </w:pPr>
  </w:p>
  <w:p w14:paraId="51D04585" w14:textId="77777777" w:rsidR="007D1F47" w:rsidRPr="007D1F47" w:rsidRDefault="007D1F47" w:rsidP="007D1F47">
    <w:pPr>
      <w:pStyle w:val="Footer"/>
      <w:rPr>
        <w:rFonts w:ascii="Arial" w:hAnsi="Arial" w:cs="Arial"/>
        <w:sz w:val="18"/>
        <w:szCs w:val="18"/>
        <w:lang w:val="fr-CA"/>
      </w:rPr>
    </w:pPr>
    <w:r w:rsidRPr="007D1F47">
      <w:rPr>
        <w:rFonts w:ascii="Arial" w:hAnsi="Arial" w:cs="Arial"/>
        <w:sz w:val="18"/>
        <w:szCs w:val="18"/>
        <w:lang w:val="fr-CA"/>
      </w:rPr>
      <w:t>© AMA – Programme mondial antidopage</w:t>
    </w:r>
    <w:r w:rsidRPr="007D1F47">
      <w:rPr>
        <w:rFonts w:ascii="Arial" w:hAnsi="Arial" w:cs="Arial"/>
        <w:sz w:val="18"/>
        <w:szCs w:val="18"/>
        <w:lang w:val="fr-CA"/>
      </w:rPr>
      <w:tab/>
    </w:r>
  </w:p>
  <w:p w14:paraId="4BC133D1" w14:textId="17763395" w:rsidR="00BB7F5C" w:rsidRPr="00955D47" w:rsidRDefault="007D1F47" w:rsidP="007D1F47">
    <w:pPr>
      <w:pStyle w:val="Footer"/>
      <w:rPr>
        <w:rFonts w:ascii="Arial" w:hAnsi="Arial" w:cs="Arial"/>
        <w:sz w:val="18"/>
        <w:szCs w:val="18"/>
        <w:lang w:val="fr-CA"/>
      </w:rPr>
    </w:pPr>
    <w:r w:rsidRPr="007D1F47">
      <w:rPr>
        <w:rFonts w:ascii="Arial" w:hAnsi="Arial" w:cs="Arial"/>
        <w:sz w:val="18"/>
        <w:szCs w:val="18"/>
        <w:lang w:val="fr-CA"/>
      </w:rPr>
      <w:t xml:space="preserve">Lignes directrices sur les </w:t>
    </w:r>
    <w:r w:rsidRPr="007D1F47">
      <w:rPr>
        <w:rFonts w:ascii="Arial" w:hAnsi="Arial" w:cs="Arial"/>
        <w:iCs/>
        <w:sz w:val="18"/>
        <w:szCs w:val="18"/>
        <w:lang w:val="fr-CA"/>
      </w:rPr>
      <w:t>AUT</w:t>
    </w:r>
    <w:r w:rsidRPr="007D1F47">
      <w:rPr>
        <w:rFonts w:ascii="Arial" w:hAnsi="Arial" w:cs="Arial"/>
        <w:sz w:val="18"/>
        <w:szCs w:val="18"/>
        <w:lang w:val="fr-CA"/>
      </w:rPr>
      <w:t xml:space="preserve"> à l’intention des médecins </w:t>
    </w:r>
    <w:r w:rsidR="00BB7F5C" w:rsidRPr="00955D47">
      <w:rPr>
        <w:rFonts w:ascii="Arial" w:hAnsi="Arial" w:cs="Arial"/>
        <w:sz w:val="18"/>
        <w:szCs w:val="18"/>
        <w:lang w:val="fr-CA"/>
      </w:rPr>
      <w:t>– Infertilit</w:t>
    </w:r>
    <w:r w:rsidR="00256E78" w:rsidRPr="00955D47">
      <w:rPr>
        <w:rFonts w:ascii="Arial" w:hAnsi="Arial" w:cs="Arial"/>
        <w:sz w:val="18"/>
        <w:szCs w:val="18"/>
        <w:lang w:val="fr-CA"/>
      </w:rPr>
      <w:t xml:space="preserve">é </w:t>
    </w:r>
    <w:r w:rsidR="00662AB2" w:rsidRPr="00955D47">
      <w:rPr>
        <w:rFonts w:ascii="Arial" w:hAnsi="Arial" w:cs="Arial"/>
        <w:sz w:val="18"/>
        <w:szCs w:val="18"/>
        <w:lang w:val="fr-CA"/>
      </w:rPr>
      <w:t>féminine</w:t>
    </w:r>
    <w:r w:rsidR="00BB7F5C" w:rsidRPr="00955D47">
      <w:rPr>
        <w:rFonts w:ascii="Arial" w:hAnsi="Arial" w:cs="Arial"/>
        <w:sz w:val="18"/>
        <w:szCs w:val="18"/>
        <w:lang w:val="fr-CA"/>
      </w:rPr>
      <w:t xml:space="preserve"> – Version 1.0 – </w:t>
    </w:r>
    <w:r w:rsidR="008C5E2A">
      <w:rPr>
        <w:rFonts w:ascii="Arial" w:hAnsi="Arial" w:cs="Arial"/>
        <w:sz w:val="18"/>
        <w:szCs w:val="18"/>
        <w:lang w:val="fr-CA"/>
      </w:rPr>
      <w:t xml:space="preserve">Décembre </w:t>
    </w:r>
    <w:r w:rsidR="00BB7F5C" w:rsidRPr="00955D47">
      <w:rPr>
        <w:rFonts w:ascii="Arial" w:hAnsi="Arial" w:cs="Arial"/>
        <w:sz w:val="18"/>
        <w:szCs w:val="18"/>
        <w:lang w:val="fr-CA"/>
      </w:rPr>
      <w:t>2021</w:t>
    </w:r>
  </w:p>
  <w:p w14:paraId="1678226D" w14:textId="77777777" w:rsidR="007D1F47" w:rsidRPr="00983A2A" w:rsidRDefault="007D1F47" w:rsidP="007D1F47">
    <w:pPr>
      <w:pStyle w:val="Footer"/>
      <w:tabs>
        <w:tab w:val="clear" w:pos="8640"/>
        <w:tab w:val="right" w:pos="8222"/>
      </w:tabs>
      <w:rPr>
        <w:rFonts w:ascii="Arial" w:hAnsi="Arial" w:cs="Arial"/>
        <w:color w:val="000000"/>
        <w:sz w:val="18"/>
        <w:szCs w:val="18"/>
        <w:lang w:val="fr-CA"/>
      </w:rPr>
    </w:pPr>
    <w:r w:rsidRPr="00983A2A">
      <w:rPr>
        <w:rFonts w:ascii="Arial" w:hAnsi="Arial" w:cs="Arial"/>
        <w:color w:val="000000"/>
        <w:sz w:val="18"/>
        <w:szCs w:val="18"/>
        <w:lang w:val="fr-CA"/>
      </w:rPr>
      <w:t xml:space="preserve">La présente ligne directrice fait l’objet d’une révision annuelle afin de déterminer si des changements apportés à la </w:t>
    </w:r>
    <w:r w:rsidRPr="00983A2A">
      <w:rPr>
        <w:rFonts w:ascii="Arial" w:hAnsi="Arial" w:cs="Arial"/>
        <w:i/>
        <w:color w:val="000000"/>
        <w:sz w:val="18"/>
        <w:szCs w:val="18"/>
        <w:lang w:val="fr-CA"/>
      </w:rPr>
      <w:t>Liste des interdiction</w:t>
    </w:r>
    <w:r w:rsidRPr="00983A2A">
      <w:rPr>
        <w:rFonts w:ascii="Arial" w:hAnsi="Arial" w:cs="Arial"/>
        <w:color w:val="000000"/>
        <w:sz w:val="18"/>
        <w:szCs w:val="18"/>
        <w:lang w:val="fr-CA"/>
      </w:rPr>
      <w:t>s ou l’établissement de nouvelles normes ou pratiques médicales justifient la mise à jour du document. Si aucune modification n’est jugée nécessaire dans le cadre de la révision annuelle, la version actuelle de la ligne directrice demeure en vigueur.</w:t>
    </w:r>
  </w:p>
  <w:p w14:paraId="6F18679E" w14:textId="77777777" w:rsidR="00BB7F5C" w:rsidRPr="00955D47" w:rsidRDefault="00BB7F5C" w:rsidP="00BB7F5C">
    <w:pPr>
      <w:pStyle w:val="Footer"/>
      <w:jc w:val="both"/>
      <w:rPr>
        <w:rFonts w:ascii="Arial" w:hAnsi="Arial" w:cs="Arial"/>
        <w:sz w:val="18"/>
        <w:szCs w:val="18"/>
        <w:lang w:val="fr-CA"/>
      </w:rPr>
    </w:pPr>
  </w:p>
  <w:p w14:paraId="5DE9C0DA" w14:textId="192A3891" w:rsidR="0073175B" w:rsidRPr="008C5E2A" w:rsidRDefault="00BB7F5C" w:rsidP="003B6596">
    <w:pPr>
      <w:pStyle w:val="Footer"/>
      <w:ind w:firstLine="9090"/>
      <w:rPr>
        <w:rFonts w:ascii="Arial" w:hAnsi="Arial" w:cs="Arial"/>
        <w:sz w:val="18"/>
        <w:szCs w:val="18"/>
      </w:rPr>
    </w:pPr>
    <w:r w:rsidRPr="008C5E2A">
      <w:rPr>
        <w:rFonts w:ascii="Arial" w:hAnsi="Arial" w:cs="Arial"/>
        <w:sz w:val="18"/>
        <w:szCs w:val="18"/>
      </w:rPr>
      <w:t xml:space="preserve">Page </w:t>
    </w:r>
    <w:r w:rsidRPr="008C5E2A">
      <w:rPr>
        <w:rFonts w:ascii="Arial" w:hAnsi="Arial" w:cs="Arial"/>
        <w:sz w:val="18"/>
        <w:szCs w:val="18"/>
      </w:rPr>
      <w:fldChar w:fldCharType="begin"/>
    </w:r>
    <w:r w:rsidRPr="008C5E2A">
      <w:rPr>
        <w:rFonts w:ascii="Arial" w:hAnsi="Arial" w:cs="Arial"/>
        <w:sz w:val="18"/>
        <w:szCs w:val="18"/>
      </w:rPr>
      <w:instrText xml:space="preserve"> PAGE  \* Arabic  \* MERGEFORMAT </w:instrText>
    </w:r>
    <w:r w:rsidRPr="008C5E2A">
      <w:rPr>
        <w:rFonts w:ascii="Arial" w:hAnsi="Arial" w:cs="Arial"/>
        <w:sz w:val="18"/>
        <w:szCs w:val="18"/>
      </w:rPr>
      <w:fldChar w:fldCharType="separate"/>
    </w:r>
    <w:r w:rsidRPr="008C5E2A">
      <w:rPr>
        <w:rFonts w:ascii="Arial" w:hAnsi="Arial" w:cs="Arial"/>
        <w:sz w:val="18"/>
        <w:szCs w:val="18"/>
      </w:rPr>
      <w:t>1</w:t>
    </w:r>
    <w:r w:rsidRPr="008C5E2A">
      <w:rPr>
        <w:rFonts w:ascii="Arial" w:hAnsi="Arial" w:cs="Arial"/>
        <w:sz w:val="18"/>
        <w:szCs w:val="18"/>
      </w:rPr>
      <w:fldChar w:fldCharType="end"/>
    </w:r>
    <w:r w:rsidRPr="008C5E2A">
      <w:rPr>
        <w:rFonts w:ascii="Arial" w:hAnsi="Arial" w:cs="Arial"/>
        <w:sz w:val="18"/>
        <w:szCs w:val="18"/>
      </w:rPr>
      <w:t xml:space="preserve"> </w:t>
    </w:r>
    <w:r w:rsidR="007D1F47" w:rsidRPr="008C5E2A">
      <w:rPr>
        <w:rFonts w:ascii="Arial" w:hAnsi="Arial" w:cs="Arial"/>
        <w:sz w:val="18"/>
        <w:szCs w:val="18"/>
      </w:rPr>
      <w:t>de</w:t>
    </w:r>
    <w:r w:rsidRPr="008C5E2A">
      <w:rPr>
        <w:rFonts w:ascii="Arial" w:hAnsi="Arial" w:cs="Arial"/>
        <w:sz w:val="18"/>
        <w:szCs w:val="18"/>
      </w:rPr>
      <w:t xml:space="preserve"> </w:t>
    </w:r>
    <w:r w:rsidRPr="008C5E2A">
      <w:rPr>
        <w:rFonts w:ascii="Arial" w:hAnsi="Arial" w:cs="Arial"/>
        <w:sz w:val="18"/>
        <w:szCs w:val="18"/>
      </w:rPr>
      <w:fldChar w:fldCharType="begin"/>
    </w:r>
    <w:r w:rsidRPr="008C5E2A">
      <w:rPr>
        <w:rFonts w:ascii="Arial" w:hAnsi="Arial" w:cs="Arial"/>
        <w:sz w:val="18"/>
        <w:szCs w:val="18"/>
      </w:rPr>
      <w:instrText xml:space="preserve"> NUMPAGES  \* Arabic  \* MERGEFORMAT </w:instrText>
    </w:r>
    <w:r w:rsidRPr="008C5E2A">
      <w:rPr>
        <w:rFonts w:ascii="Arial" w:hAnsi="Arial" w:cs="Arial"/>
        <w:sz w:val="18"/>
        <w:szCs w:val="18"/>
      </w:rPr>
      <w:fldChar w:fldCharType="separate"/>
    </w:r>
    <w:r w:rsidRPr="008C5E2A">
      <w:rPr>
        <w:rFonts w:ascii="Arial" w:hAnsi="Arial" w:cs="Arial"/>
        <w:sz w:val="18"/>
        <w:szCs w:val="18"/>
      </w:rPr>
      <w:t>3</w:t>
    </w:r>
    <w:r w:rsidRPr="008C5E2A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AC1C" w14:textId="77777777" w:rsidR="008828B6" w:rsidRDefault="008828B6">
      <w:pPr>
        <w:spacing w:after="0" w:line="240" w:lineRule="auto"/>
      </w:pPr>
      <w:r>
        <w:separator/>
      </w:r>
    </w:p>
  </w:footnote>
  <w:footnote w:type="continuationSeparator" w:id="0">
    <w:p w14:paraId="050851AA" w14:textId="77777777" w:rsidR="008828B6" w:rsidRDefault="0088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95549" w14:textId="77777777" w:rsidR="0073175B" w:rsidRDefault="0073175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EBC1" w14:textId="0933FFD1" w:rsidR="0073175B" w:rsidRPr="007D1F47" w:rsidRDefault="008C5E2A" w:rsidP="00545256">
    <w:pPr>
      <w:pBdr>
        <w:top w:val="nil"/>
        <w:left w:val="nil"/>
        <w:bottom w:val="nil"/>
        <w:right w:val="nil"/>
        <w:between w:val="nil"/>
      </w:pBdr>
      <w:tabs>
        <w:tab w:val="left" w:pos="3204"/>
        <w:tab w:val="center" w:pos="4320"/>
        <w:tab w:val="center" w:pos="5040"/>
        <w:tab w:val="right" w:pos="8640"/>
      </w:tabs>
      <w:spacing w:after="0" w:line="240" w:lineRule="auto"/>
      <w:ind w:firstLine="540"/>
      <w:jc w:val="center"/>
      <w:rPr>
        <w:rFonts w:ascii="Arial" w:eastAsia="Verdana" w:hAnsi="Arial" w:cs="Arial"/>
        <w:iCs/>
        <w:color w:val="000000" w:themeColor="text1"/>
        <w:lang w:val="fr-CA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AE9ABA0" wp14:editId="0157F623">
          <wp:simplePos x="0" y="0"/>
          <wp:positionH relativeFrom="margin">
            <wp:align>left</wp:align>
          </wp:positionH>
          <wp:positionV relativeFrom="paragraph">
            <wp:posOffset>-180471</wp:posOffset>
          </wp:positionV>
          <wp:extent cx="1429407" cy="700053"/>
          <wp:effectExtent l="0" t="0" r="0" b="5080"/>
          <wp:wrapNone/>
          <wp:docPr id="1" name="Pictur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407" cy="700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F47" w:rsidRPr="007D1F47">
      <w:rPr>
        <w:rFonts w:ascii="Arial" w:eastAsia="Verdana" w:hAnsi="Arial" w:cs="Arial"/>
        <w:iCs/>
        <w:color w:val="000000" w:themeColor="text1"/>
        <w:lang w:val="fr-CA"/>
      </w:rPr>
      <w:t>Lignes directrices sur les AUT à l’intention des médecin</w:t>
    </w:r>
    <w:r w:rsidR="005B3791" w:rsidRPr="007D1F47">
      <w:rPr>
        <w:rFonts w:ascii="Arial" w:eastAsia="Verdana" w:hAnsi="Arial" w:cs="Arial"/>
        <w:iCs/>
        <w:color w:val="000000" w:themeColor="text1"/>
        <w:lang w:val="fr-CA"/>
      </w:rPr>
      <w:t>s</w:t>
    </w:r>
  </w:p>
  <w:p w14:paraId="46EA3C47" w14:textId="23880390" w:rsidR="0087730D" w:rsidRDefault="007D1F47" w:rsidP="00545256">
    <w:pPr>
      <w:pBdr>
        <w:top w:val="nil"/>
        <w:left w:val="nil"/>
        <w:bottom w:val="nil"/>
        <w:right w:val="nil"/>
        <w:between w:val="nil"/>
      </w:pBdr>
      <w:tabs>
        <w:tab w:val="left" w:pos="3204"/>
        <w:tab w:val="center" w:pos="4320"/>
        <w:tab w:val="center" w:pos="5040"/>
        <w:tab w:val="right" w:pos="8640"/>
      </w:tabs>
      <w:spacing w:after="0" w:line="240" w:lineRule="auto"/>
      <w:ind w:firstLine="540"/>
      <w:jc w:val="center"/>
      <w:rPr>
        <w:rFonts w:ascii="Verdana" w:eastAsia="Verdana" w:hAnsi="Verdana" w:cs="Verdana"/>
        <w:i/>
        <w:color w:val="808080"/>
        <w:sz w:val="18"/>
        <w:szCs w:val="18"/>
        <w:lang w:val="fr-CA"/>
      </w:rPr>
    </w:pPr>
    <w:r>
      <w:rPr>
        <w:rFonts w:ascii="Arial" w:eastAsia="Verdana" w:hAnsi="Arial" w:cs="Arial"/>
        <w:iCs/>
        <w:color w:val="000000" w:themeColor="text1"/>
        <w:lang w:val="fr-CA"/>
      </w:rPr>
      <w:t>I</w:t>
    </w:r>
    <w:r w:rsidR="006C6CE1" w:rsidRPr="007D1F47">
      <w:rPr>
        <w:rFonts w:ascii="Arial" w:eastAsia="Verdana" w:hAnsi="Arial" w:cs="Arial"/>
        <w:iCs/>
        <w:color w:val="000000" w:themeColor="text1"/>
        <w:lang w:val="fr-CA"/>
      </w:rPr>
      <w:t>nfertilit</w:t>
    </w:r>
    <w:r>
      <w:rPr>
        <w:rFonts w:ascii="Arial" w:eastAsia="Verdana" w:hAnsi="Arial" w:cs="Arial"/>
        <w:iCs/>
        <w:color w:val="000000" w:themeColor="text1"/>
        <w:lang w:val="fr-CA"/>
      </w:rPr>
      <w:t xml:space="preserve">é </w:t>
    </w:r>
    <w:r w:rsidR="00662AB2">
      <w:rPr>
        <w:rFonts w:ascii="Arial" w:eastAsia="Verdana" w:hAnsi="Arial" w:cs="Arial"/>
        <w:iCs/>
        <w:color w:val="000000" w:themeColor="text1"/>
        <w:lang w:val="fr-CA"/>
      </w:rPr>
      <w:t>féminine</w:t>
    </w:r>
  </w:p>
  <w:p w14:paraId="1B8EAD05" w14:textId="77777777" w:rsidR="008C5E2A" w:rsidRDefault="008C5E2A" w:rsidP="008C5E2A">
    <w:pPr>
      <w:pBdr>
        <w:top w:val="nil"/>
        <w:left w:val="nil"/>
        <w:bottom w:val="nil"/>
        <w:right w:val="nil"/>
        <w:between w:val="nil"/>
      </w:pBdr>
      <w:tabs>
        <w:tab w:val="left" w:pos="3204"/>
        <w:tab w:val="center" w:pos="4320"/>
        <w:tab w:val="center" w:pos="5040"/>
        <w:tab w:val="right" w:pos="8640"/>
      </w:tabs>
      <w:spacing w:after="0" w:line="240" w:lineRule="auto"/>
      <w:jc w:val="center"/>
      <w:rPr>
        <w:rFonts w:ascii="Arial" w:eastAsia="Verdana" w:hAnsi="Arial" w:cs="Arial"/>
        <w:iCs/>
        <w:color w:val="808080"/>
        <w:sz w:val="18"/>
        <w:szCs w:val="18"/>
        <w:lang w:val="fr-CA"/>
      </w:rPr>
    </w:pPr>
  </w:p>
  <w:p w14:paraId="595D583E" w14:textId="77777777" w:rsidR="008C5E2A" w:rsidRDefault="008C5E2A" w:rsidP="008C5E2A">
    <w:pPr>
      <w:pBdr>
        <w:top w:val="nil"/>
        <w:left w:val="nil"/>
        <w:bottom w:val="nil"/>
        <w:right w:val="nil"/>
        <w:between w:val="nil"/>
      </w:pBdr>
      <w:tabs>
        <w:tab w:val="left" w:pos="3204"/>
        <w:tab w:val="center" w:pos="4320"/>
        <w:tab w:val="center" w:pos="5040"/>
        <w:tab w:val="right" w:pos="8640"/>
      </w:tabs>
      <w:spacing w:after="0" w:line="240" w:lineRule="auto"/>
      <w:jc w:val="center"/>
      <w:rPr>
        <w:rFonts w:ascii="Arial" w:eastAsia="Verdana" w:hAnsi="Arial" w:cs="Arial"/>
        <w:iCs/>
        <w:color w:val="808080"/>
        <w:sz w:val="18"/>
        <w:szCs w:val="18"/>
        <w:lang w:val="fr-CA"/>
      </w:rPr>
    </w:pPr>
  </w:p>
  <w:p w14:paraId="664F0EBA" w14:textId="77777777" w:rsidR="008C5E2A" w:rsidRPr="008C5E2A" w:rsidRDefault="008C5E2A" w:rsidP="008C5E2A">
    <w:pPr>
      <w:pBdr>
        <w:top w:val="nil"/>
        <w:left w:val="nil"/>
        <w:bottom w:val="nil"/>
        <w:right w:val="nil"/>
        <w:between w:val="nil"/>
      </w:pBdr>
      <w:tabs>
        <w:tab w:val="left" w:pos="3204"/>
        <w:tab w:val="center" w:pos="4320"/>
        <w:tab w:val="center" w:pos="5040"/>
        <w:tab w:val="right" w:pos="8640"/>
      </w:tabs>
      <w:spacing w:after="0" w:line="240" w:lineRule="auto"/>
      <w:jc w:val="center"/>
      <w:rPr>
        <w:rFonts w:ascii="Arial" w:eastAsia="Verdana" w:hAnsi="Arial" w:cs="Arial"/>
        <w:iCs/>
        <w:color w:val="808080"/>
        <w:sz w:val="18"/>
        <w:szCs w:val="1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6F2A" w14:textId="24A7C01D" w:rsidR="00955D47" w:rsidRDefault="007D1F47" w:rsidP="008C5E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rFonts w:ascii="Arial" w:hAnsi="Arial" w:cs="Arial"/>
        <w:sz w:val="24"/>
        <w:szCs w:val="20"/>
        <w:lang w:val="fr-CA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4F93690" wp14:editId="337F682F">
          <wp:simplePos x="0" y="0"/>
          <wp:positionH relativeFrom="margin">
            <wp:align>left</wp:align>
          </wp:positionH>
          <wp:positionV relativeFrom="paragraph">
            <wp:posOffset>-202913</wp:posOffset>
          </wp:positionV>
          <wp:extent cx="1404047" cy="687633"/>
          <wp:effectExtent l="0" t="0" r="5715" b="0"/>
          <wp:wrapNone/>
          <wp:docPr id="2" name="Picture 2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e image contenant texte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47" cy="687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  <w:szCs w:val="20"/>
        <w:lang w:val="fr-CA"/>
      </w:rPr>
      <w:t>L</w:t>
    </w:r>
    <w:r w:rsidRPr="00546777">
      <w:rPr>
        <w:rFonts w:ascii="Arial" w:hAnsi="Arial" w:cs="Arial"/>
        <w:sz w:val="24"/>
        <w:szCs w:val="20"/>
        <w:lang w:val="fr-CA"/>
      </w:rPr>
      <w:t xml:space="preserve">ignes directrices sur les </w:t>
    </w:r>
  </w:p>
  <w:p w14:paraId="24E1EDAB" w14:textId="6FA4CB4E" w:rsidR="007D1F47" w:rsidRPr="00546777" w:rsidRDefault="007D1F47" w:rsidP="007D1F47">
    <w:pPr>
      <w:spacing w:after="0"/>
      <w:jc w:val="center"/>
      <w:outlineLvl w:val="0"/>
      <w:rPr>
        <w:rFonts w:ascii="Arial" w:hAnsi="Arial" w:cs="Arial"/>
        <w:sz w:val="24"/>
        <w:lang w:val="fr-CA"/>
      </w:rPr>
    </w:pPr>
    <w:r w:rsidRPr="00785EE5">
      <w:rPr>
        <w:rFonts w:ascii="Arial" w:hAnsi="Arial" w:cs="Arial"/>
        <w:iCs/>
        <w:sz w:val="24"/>
        <w:szCs w:val="20"/>
        <w:lang w:val="fr-CA"/>
      </w:rPr>
      <w:t>AUT</w:t>
    </w:r>
    <w:r w:rsidRPr="00546777">
      <w:rPr>
        <w:rFonts w:ascii="Arial" w:hAnsi="Arial" w:cs="Arial"/>
        <w:sz w:val="24"/>
        <w:szCs w:val="20"/>
        <w:lang w:val="fr-CA"/>
      </w:rPr>
      <w:t xml:space="preserve"> à l’intention des médecins</w:t>
    </w:r>
  </w:p>
  <w:p w14:paraId="0A677C7C" w14:textId="77777777" w:rsidR="007D1F47" w:rsidRDefault="007D1F47" w:rsidP="007D1F47">
    <w:pPr>
      <w:pStyle w:val="Header"/>
      <w:jc w:val="center"/>
      <w:rPr>
        <w:rFonts w:ascii="Arial" w:hAnsi="Arial" w:cs="Arial"/>
        <w:lang w:val="fr-CA"/>
      </w:rPr>
    </w:pPr>
  </w:p>
  <w:p w14:paraId="786948D6" w14:textId="77777777" w:rsidR="008C5E2A" w:rsidRDefault="008C5E2A" w:rsidP="007D1F47">
    <w:pPr>
      <w:pStyle w:val="Header"/>
      <w:jc w:val="center"/>
      <w:rPr>
        <w:rFonts w:ascii="Arial" w:hAnsi="Arial" w:cs="Arial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5FC"/>
    <w:multiLevelType w:val="hybridMultilevel"/>
    <w:tmpl w:val="8BFA87FA"/>
    <w:lvl w:ilvl="0" w:tplc="E60E4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116D5"/>
    <w:multiLevelType w:val="multilevel"/>
    <w:tmpl w:val="52BA1C50"/>
    <w:lvl w:ilvl="0">
      <w:start w:val="1"/>
      <w:numFmt w:val="lowerRoman"/>
      <w:lvlText w:val="%1)"/>
      <w:lvlJc w:val="right"/>
      <w:pPr>
        <w:ind w:left="1800" w:hanging="360"/>
      </w:pPr>
      <w:rPr>
        <w:rFonts w:ascii="Arial" w:eastAsia="Times New Roman" w:hAnsi="Arial" w:cs="Arial" w:hint="default"/>
        <w:b w:val="0"/>
        <w:bCs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560" w:hanging="360"/>
      </w:pPr>
      <w:rPr>
        <w:u w:val="none"/>
      </w:rPr>
    </w:lvl>
  </w:abstractNum>
  <w:abstractNum w:abstractNumId="2" w15:restartNumberingAfterBreak="0">
    <w:nsid w:val="0F7D5014"/>
    <w:multiLevelType w:val="multilevel"/>
    <w:tmpl w:val="93EC59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0005FA"/>
    <w:multiLevelType w:val="hybridMultilevel"/>
    <w:tmpl w:val="E5B03A5A"/>
    <w:lvl w:ilvl="0" w:tplc="EE584494">
      <w:start w:val="1"/>
      <w:numFmt w:val="upperRoman"/>
      <w:pStyle w:val="MedicalLevel1"/>
      <w:lvlText w:val="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48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415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-343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-27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-19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-12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-55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66" w:hanging="180"/>
      </w:pPr>
      <w:rPr>
        <w:rFonts w:cs="Times New Roman"/>
      </w:rPr>
    </w:lvl>
  </w:abstractNum>
  <w:abstractNum w:abstractNumId="4" w15:restartNumberingAfterBreak="0">
    <w:nsid w:val="23D905E3"/>
    <w:multiLevelType w:val="multilevel"/>
    <w:tmpl w:val="FE90A3D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6D184D"/>
    <w:multiLevelType w:val="multilevel"/>
    <w:tmpl w:val="E71CD8E4"/>
    <w:lvl w:ilvl="0">
      <w:start w:val="1"/>
      <w:numFmt w:val="upperLetter"/>
      <w:lvlText w:val="%1."/>
      <w:lvlJc w:val="left"/>
      <w:pPr>
        <w:ind w:left="630" w:hanging="360"/>
      </w:pPr>
      <w:rPr>
        <w:rFonts w:ascii="Verdana" w:eastAsia="Verdana" w:hAnsi="Verdana" w:cs="Verdana"/>
        <w:b/>
        <w:bCs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39C2D23"/>
    <w:multiLevelType w:val="multilevel"/>
    <w:tmpl w:val="16B21CBA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446208"/>
    <w:multiLevelType w:val="multilevel"/>
    <w:tmpl w:val="547C8F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D61717B"/>
    <w:multiLevelType w:val="multilevel"/>
    <w:tmpl w:val="7F429750"/>
    <w:lvl w:ilvl="0">
      <w:start w:val="1"/>
      <w:numFmt w:val="lowerRoman"/>
      <w:lvlText w:val="%1."/>
      <w:lvlJc w:val="righ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560" w:hanging="360"/>
      </w:pPr>
      <w:rPr>
        <w:u w:val="none"/>
      </w:rPr>
    </w:lvl>
  </w:abstractNum>
  <w:abstractNum w:abstractNumId="9" w15:restartNumberingAfterBreak="0">
    <w:nsid w:val="414121D8"/>
    <w:multiLevelType w:val="multilevel"/>
    <w:tmpl w:val="E71CD8E4"/>
    <w:lvl w:ilvl="0">
      <w:start w:val="1"/>
      <w:numFmt w:val="upperLetter"/>
      <w:lvlText w:val="%1."/>
      <w:lvlJc w:val="left"/>
      <w:pPr>
        <w:ind w:left="630" w:hanging="360"/>
      </w:pPr>
      <w:rPr>
        <w:rFonts w:ascii="Verdana" w:eastAsia="Verdana" w:hAnsi="Verdana" w:cs="Verdana"/>
        <w:b/>
        <w:bCs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49974E9"/>
    <w:multiLevelType w:val="hybridMultilevel"/>
    <w:tmpl w:val="722C6A16"/>
    <w:lvl w:ilvl="0" w:tplc="774AD0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5530B"/>
    <w:multiLevelType w:val="hybridMultilevel"/>
    <w:tmpl w:val="778245F0"/>
    <w:lvl w:ilvl="0" w:tplc="8CC86EEE">
      <w:start w:val="3"/>
      <w:numFmt w:val="upperLetter"/>
      <w:lvlText w:val="%1."/>
      <w:lvlJc w:val="left"/>
      <w:pPr>
        <w:ind w:left="720" w:hanging="360"/>
      </w:pPr>
      <w:rPr>
        <w:rFonts w:eastAsia="Verdan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31B3D"/>
    <w:multiLevelType w:val="multilevel"/>
    <w:tmpl w:val="3998E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A2454AD"/>
    <w:multiLevelType w:val="multilevel"/>
    <w:tmpl w:val="A70CEC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B378A1"/>
    <w:multiLevelType w:val="multilevel"/>
    <w:tmpl w:val="B0624746"/>
    <w:lvl w:ilvl="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b w:val="0"/>
        <w:bCs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560" w:hanging="360"/>
      </w:pPr>
      <w:rPr>
        <w:u w:val="none"/>
      </w:rPr>
    </w:lvl>
  </w:abstractNum>
  <w:abstractNum w:abstractNumId="15" w15:restartNumberingAfterBreak="0">
    <w:nsid w:val="6DE710F7"/>
    <w:multiLevelType w:val="multilevel"/>
    <w:tmpl w:val="A9AA50A4"/>
    <w:lvl w:ilvl="0">
      <w:start w:val="1"/>
      <w:numFmt w:val="lowerRoman"/>
      <w:lvlText w:val="%1."/>
      <w:lvlJc w:val="right"/>
      <w:pPr>
        <w:ind w:left="1800" w:hanging="360"/>
      </w:pPr>
      <w:rPr>
        <w:b w:val="0"/>
        <w:bCs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560" w:hanging="360"/>
      </w:pPr>
      <w:rPr>
        <w:u w:val="none"/>
      </w:rPr>
    </w:lvl>
  </w:abstractNum>
  <w:abstractNum w:abstractNumId="16" w15:restartNumberingAfterBreak="0">
    <w:nsid w:val="75F879AF"/>
    <w:multiLevelType w:val="hybridMultilevel"/>
    <w:tmpl w:val="228E2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C5387"/>
    <w:multiLevelType w:val="multilevel"/>
    <w:tmpl w:val="40126622"/>
    <w:lvl w:ilvl="0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/>
        <w:bCs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7"/>
  </w:num>
  <w:num w:numId="10">
    <w:abstractNumId w:val="8"/>
  </w:num>
  <w:num w:numId="11">
    <w:abstractNumId w:val="15"/>
  </w:num>
  <w:num w:numId="12">
    <w:abstractNumId w:val="14"/>
  </w:num>
  <w:num w:numId="13">
    <w:abstractNumId w:val="16"/>
  </w:num>
  <w:num w:numId="14">
    <w:abstractNumId w:val="10"/>
  </w:num>
  <w:num w:numId="15">
    <w:abstractNumId w:val="11"/>
  </w:num>
  <w:num w:numId="16">
    <w:abstractNumId w:val="0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5B"/>
    <w:rsid w:val="00002707"/>
    <w:rsid w:val="00004A34"/>
    <w:rsid w:val="000058F6"/>
    <w:rsid w:val="000145A4"/>
    <w:rsid w:val="00014EC1"/>
    <w:rsid w:val="0005177B"/>
    <w:rsid w:val="00056931"/>
    <w:rsid w:val="00060091"/>
    <w:rsid w:val="0006071A"/>
    <w:rsid w:val="00061CD6"/>
    <w:rsid w:val="00093EE8"/>
    <w:rsid w:val="0009767C"/>
    <w:rsid w:val="000C40AA"/>
    <w:rsid w:val="000D6BCC"/>
    <w:rsid w:val="000F4514"/>
    <w:rsid w:val="000F645D"/>
    <w:rsid w:val="00111181"/>
    <w:rsid w:val="0011251B"/>
    <w:rsid w:val="001542A3"/>
    <w:rsid w:val="00160889"/>
    <w:rsid w:val="001822F7"/>
    <w:rsid w:val="001962AA"/>
    <w:rsid w:val="001A149E"/>
    <w:rsid w:val="001B4660"/>
    <w:rsid w:val="001C502E"/>
    <w:rsid w:val="001C74EB"/>
    <w:rsid w:val="001D060B"/>
    <w:rsid w:val="001D48D4"/>
    <w:rsid w:val="001E4F9D"/>
    <w:rsid w:val="002048DD"/>
    <w:rsid w:val="00207D41"/>
    <w:rsid w:val="00212D64"/>
    <w:rsid w:val="00213CB9"/>
    <w:rsid w:val="002148EA"/>
    <w:rsid w:val="00214D18"/>
    <w:rsid w:val="00222210"/>
    <w:rsid w:val="00225577"/>
    <w:rsid w:val="0023657A"/>
    <w:rsid w:val="002374BF"/>
    <w:rsid w:val="00237E12"/>
    <w:rsid w:val="0024486B"/>
    <w:rsid w:val="00256E78"/>
    <w:rsid w:val="0026365A"/>
    <w:rsid w:val="00265990"/>
    <w:rsid w:val="00270CC1"/>
    <w:rsid w:val="00274D32"/>
    <w:rsid w:val="0027686B"/>
    <w:rsid w:val="00286DED"/>
    <w:rsid w:val="002907B2"/>
    <w:rsid w:val="002924C8"/>
    <w:rsid w:val="002D2C22"/>
    <w:rsid w:val="002D657A"/>
    <w:rsid w:val="002D6A87"/>
    <w:rsid w:val="002E680E"/>
    <w:rsid w:val="00301642"/>
    <w:rsid w:val="00315871"/>
    <w:rsid w:val="00341C05"/>
    <w:rsid w:val="0034257B"/>
    <w:rsid w:val="00346B2B"/>
    <w:rsid w:val="003544E2"/>
    <w:rsid w:val="00364C7C"/>
    <w:rsid w:val="00365D3B"/>
    <w:rsid w:val="0036651E"/>
    <w:rsid w:val="00393ABA"/>
    <w:rsid w:val="003B474D"/>
    <w:rsid w:val="003B6596"/>
    <w:rsid w:val="003C19C1"/>
    <w:rsid w:val="003C56BF"/>
    <w:rsid w:val="003C5AF1"/>
    <w:rsid w:val="003E36FB"/>
    <w:rsid w:val="003F66BB"/>
    <w:rsid w:val="00417323"/>
    <w:rsid w:val="00473EB1"/>
    <w:rsid w:val="00487843"/>
    <w:rsid w:val="004A7233"/>
    <w:rsid w:val="004F140B"/>
    <w:rsid w:val="004F45FE"/>
    <w:rsid w:val="00502F00"/>
    <w:rsid w:val="00511BA2"/>
    <w:rsid w:val="005127B0"/>
    <w:rsid w:val="00517703"/>
    <w:rsid w:val="00526953"/>
    <w:rsid w:val="0053432A"/>
    <w:rsid w:val="00545256"/>
    <w:rsid w:val="00547F98"/>
    <w:rsid w:val="005A3A6E"/>
    <w:rsid w:val="005B3791"/>
    <w:rsid w:val="005B7607"/>
    <w:rsid w:val="005D1FD0"/>
    <w:rsid w:val="005D41B2"/>
    <w:rsid w:val="005F40D1"/>
    <w:rsid w:val="0061079F"/>
    <w:rsid w:val="00617187"/>
    <w:rsid w:val="0062106D"/>
    <w:rsid w:val="00621F74"/>
    <w:rsid w:val="0063490C"/>
    <w:rsid w:val="00654870"/>
    <w:rsid w:val="00661E1F"/>
    <w:rsid w:val="00662AB2"/>
    <w:rsid w:val="0067683F"/>
    <w:rsid w:val="0068733A"/>
    <w:rsid w:val="006B71B6"/>
    <w:rsid w:val="006C02A2"/>
    <w:rsid w:val="006C3367"/>
    <w:rsid w:val="006C6CE1"/>
    <w:rsid w:val="006F5838"/>
    <w:rsid w:val="007228DB"/>
    <w:rsid w:val="0073175B"/>
    <w:rsid w:val="00753B62"/>
    <w:rsid w:val="0075422F"/>
    <w:rsid w:val="007842CD"/>
    <w:rsid w:val="00790763"/>
    <w:rsid w:val="00797E32"/>
    <w:rsid w:val="007A33A5"/>
    <w:rsid w:val="007A38ED"/>
    <w:rsid w:val="007D1F47"/>
    <w:rsid w:val="007E2255"/>
    <w:rsid w:val="00812265"/>
    <w:rsid w:val="00827EE1"/>
    <w:rsid w:val="00841841"/>
    <w:rsid w:val="008443D5"/>
    <w:rsid w:val="008522AB"/>
    <w:rsid w:val="008535DD"/>
    <w:rsid w:val="0087730D"/>
    <w:rsid w:val="008828B6"/>
    <w:rsid w:val="00897FC4"/>
    <w:rsid w:val="008A1689"/>
    <w:rsid w:val="008A5EB5"/>
    <w:rsid w:val="008B00DD"/>
    <w:rsid w:val="008C5E2A"/>
    <w:rsid w:val="008D2839"/>
    <w:rsid w:val="008D2AC4"/>
    <w:rsid w:val="008D4AAA"/>
    <w:rsid w:val="00904DBC"/>
    <w:rsid w:val="009152A9"/>
    <w:rsid w:val="00931548"/>
    <w:rsid w:val="00944241"/>
    <w:rsid w:val="00953E40"/>
    <w:rsid w:val="00955D47"/>
    <w:rsid w:val="00960F1A"/>
    <w:rsid w:val="00961010"/>
    <w:rsid w:val="00971629"/>
    <w:rsid w:val="00984FB9"/>
    <w:rsid w:val="009B207A"/>
    <w:rsid w:val="009B76C0"/>
    <w:rsid w:val="009C4A5E"/>
    <w:rsid w:val="00A01B2D"/>
    <w:rsid w:val="00A04184"/>
    <w:rsid w:val="00A32078"/>
    <w:rsid w:val="00A338BC"/>
    <w:rsid w:val="00A51153"/>
    <w:rsid w:val="00A77BBA"/>
    <w:rsid w:val="00A83490"/>
    <w:rsid w:val="00AD3939"/>
    <w:rsid w:val="00AD5319"/>
    <w:rsid w:val="00AD63A6"/>
    <w:rsid w:val="00AD6AD6"/>
    <w:rsid w:val="00AE6CB1"/>
    <w:rsid w:val="00AF6C75"/>
    <w:rsid w:val="00AF746B"/>
    <w:rsid w:val="00B01628"/>
    <w:rsid w:val="00B13966"/>
    <w:rsid w:val="00B24985"/>
    <w:rsid w:val="00B372BB"/>
    <w:rsid w:val="00B37B83"/>
    <w:rsid w:val="00B62FD9"/>
    <w:rsid w:val="00B6722F"/>
    <w:rsid w:val="00B7209F"/>
    <w:rsid w:val="00B740A3"/>
    <w:rsid w:val="00B80E65"/>
    <w:rsid w:val="00B8256E"/>
    <w:rsid w:val="00B95B7C"/>
    <w:rsid w:val="00BA68E1"/>
    <w:rsid w:val="00BB7F5C"/>
    <w:rsid w:val="00BC2544"/>
    <w:rsid w:val="00BE54CE"/>
    <w:rsid w:val="00BF2E36"/>
    <w:rsid w:val="00C17092"/>
    <w:rsid w:val="00C178E6"/>
    <w:rsid w:val="00C17A0D"/>
    <w:rsid w:val="00C17E78"/>
    <w:rsid w:val="00C306BB"/>
    <w:rsid w:val="00C308E9"/>
    <w:rsid w:val="00C40A35"/>
    <w:rsid w:val="00C45F81"/>
    <w:rsid w:val="00C47A9A"/>
    <w:rsid w:val="00C52E0D"/>
    <w:rsid w:val="00C76D72"/>
    <w:rsid w:val="00C902B5"/>
    <w:rsid w:val="00C93116"/>
    <w:rsid w:val="00CC7FD6"/>
    <w:rsid w:val="00CD62B5"/>
    <w:rsid w:val="00CE4388"/>
    <w:rsid w:val="00CE4CC9"/>
    <w:rsid w:val="00CE7534"/>
    <w:rsid w:val="00CE7DE2"/>
    <w:rsid w:val="00D456CD"/>
    <w:rsid w:val="00D466E4"/>
    <w:rsid w:val="00D54227"/>
    <w:rsid w:val="00D822CF"/>
    <w:rsid w:val="00D8610C"/>
    <w:rsid w:val="00D934EA"/>
    <w:rsid w:val="00DA4C55"/>
    <w:rsid w:val="00DB4E0D"/>
    <w:rsid w:val="00DE2E90"/>
    <w:rsid w:val="00DF0CA3"/>
    <w:rsid w:val="00E04D2D"/>
    <w:rsid w:val="00E05D13"/>
    <w:rsid w:val="00E06B9A"/>
    <w:rsid w:val="00E1050E"/>
    <w:rsid w:val="00E16286"/>
    <w:rsid w:val="00E23E33"/>
    <w:rsid w:val="00E2425D"/>
    <w:rsid w:val="00E50561"/>
    <w:rsid w:val="00E54D46"/>
    <w:rsid w:val="00E67F4A"/>
    <w:rsid w:val="00EA12C5"/>
    <w:rsid w:val="00EA212D"/>
    <w:rsid w:val="00F0190C"/>
    <w:rsid w:val="00F113FC"/>
    <w:rsid w:val="00F13FD6"/>
    <w:rsid w:val="00F1435B"/>
    <w:rsid w:val="00F403F4"/>
    <w:rsid w:val="00F407C5"/>
    <w:rsid w:val="00F41863"/>
    <w:rsid w:val="00F50476"/>
    <w:rsid w:val="00F54F2F"/>
    <w:rsid w:val="00F6204C"/>
    <w:rsid w:val="00F63125"/>
    <w:rsid w:val="00F67B88"/>
    <w:rsid w:val="00F8292A"/>
    <w:rsid w:val="00F83775"/>
    <w:rsid w:val="00F9163B"/>
    <w:rsid w:val="00FA3327"/>
    <w:rsid w:val="00FC16B6"/>
    <w:rsid w:val="00FC4F45"/>
    <w:rsid w:val="00FC7F5D"/>
    <w:rsid w:val="00FD0DCF"/>
    <w:rsid w:val="00FD2228"/>
    <w:rsid w:val="00FD7F56"/>
    <w:rsid w:val="00FE1FC5"/>
    <w:rsid w:val="00FF1327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40F1D"/>
  <w15:docId w15:val="{7706647E-9B88-5D48-BC62-DD8CBA8B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Verdana" w:eastAsia="Verdana" w:hAnsi="Verdana" w:cs="Verdana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 w:line="240" w:lineRule="auto"/>
      <w:outlineLvl w:val="3"/>
    </w:pPr>
    <w:rPr>
      <w:rFonts w:ascii="Cambria" w:eastAsia="Cambria" w:hAnsi="Cambria" w:cs="Cambria"/>
      <w:b/>
      <w:i/>
      <w:color w:val="4F81B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4E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4E2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3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1629"/>
    <w:pPr>
      <w:ind w:left="720"/>
      <w:contextualSpacing/>
    </w:pPr>
  </w:style>
  <w:style w:type="paragraph" w:styleId="Revision">
    <w:name w:val="Revision"/>
    <w:hidden/>
    <w:uiPriority w:val="99"/>
    <w:semiHidden/>
    <w:rsid w:val="005B3791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F54F2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4F2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MedicalLevel1">
    <w:name w:val="Medical Level 1"/>
    <w:basedOn w:val="Normal"/>
    <w:uiPriority w:val="99"/>
    <w:rsid w:val="007D1F47"/>
    <w:pPr>
      <w:numPr>
        <w:numId w:val="18"/>
      </w:numPr>
      <w:jc w:val="both"/>
      <w:outlineLvl w:val="0"/>
    </w:pPr>
    <w:rPr>
      <w:rFonts w:ascii="Verdana" w:eastAsiaTheme="minorHAnsi" w:hAnsi="Verdana" w:cstheme="minorBidi"/>
      <w:sz w:val="30"/>
      <w:lang w:eastAsia="en-US"/>
    </w:rPr>
  </w:style>
  <w:style w:type="paragraph" w:styleId="Header">
    <w:name w:val="header"/>
    <w:basedOn w:val="Normal"/>
    <w:link w:val="HeaderChar"/>
    <w:rsid w:val="007D1F4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7D1F4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C0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ice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46C2D0BC8B146BC32617793193C70" ma:contentTypeVersion="10" ma:contentTypeDescription="Create a new document." ma:contentTypeScope="" ma:versionID="f4dd5f306709bd818966e997baac7ba7">
  <xsd:schema xmlns:xsd="http://www.w3.org/2001/XMLSchema" xmlns:xs="http://www.w3.org/2001/XMLSchema" xmlns:p="http://schemas.microsoft.com/office/2006/metadata/properties" xmlns:ns2="aa97e7b4-1795-498e-8799-4f968d147db3" targetNamespace="http://schemas.microsoft.com/office/2006/metadata/properties" ma:root="true" ma:fieldsID="5f6f9fdbc76b723e848afcb5cb2fbb63" ns2:_="">
    <xsd:import namespace="aa97e7b4-1795-498e-8799-4f968d147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7e7b4-1795-498e-8799-4f968d147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15E09E-6082-453B-B8D8-F29214CDB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ECD652-5C03-4019-85FA-7A9DE0247CE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97e7b4-1795-498e-8799-4f968d147db3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55AEC6-E48D-4CF8-879D-28483EDEA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59221-968A-4031-BBB8-F896BACBC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7e7b4-1795-498e-8799-4f968d147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Shapiro, Dr. Heather</dc:creator>
  <cp:lastModifiedBy>KC</cp:lastModifiedBy>
  <cp:revision>10</cp:revision>
  <dcterms:created xsi:type="dcterms:W3CDTF">2021-11-02T17:20:00Z</dcterms:created>
  <dcterms:modified xsi:type="dcterms:W3CDTF">2021-12-13T16:24:00Z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0x0101007CF46C2D0BC8B146BC32617793193C70</vt:lpwstr>
  </property>
</Properties>
</file>